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1A6D21">
      <w:pPr>
        <w:tabs>
          <w:tab w:val="left" w:pos="420"/>
        </w:tabs>
        <w:spacing w:before="360" w:beforeLines="150"/>
        <w:jc w:val="center"/>
        <w:outlineLvl w:val="9"/>
        <w:rPr>
          <w:rFonts w:ascii="宋体" w:hAnsi="宋体"/>
          <w:b/>
          <w:bCs/>
          <w:sz w:val="52"/>
          <w:szCs w:val="52"/>
          <w:highlight w:val="none"/>
        </w:rPr>
      </w:pPr>
      <w:r>
        <w:rPr>
          <w:rFonts w:hint="eastAsia" w:ascii="宋体" w:hAnsi="宋体"/>
          <w:b/>
          <w:bCs/>
          <w:sz w:val="52"/>
          <w:szCs w:val="52"/>
          <w:highlight w:val="none"/>
        </w:rPr>
        <w:t>竞争谈判文件</w:t>
      </w:r>
    </w:p>
    <w:p w14:paraId="6A30B88B">
      <w:pPr>
        <w:pStyle w:val="18"/>
        <w:ind w:firstLine="3922" w:firstLineChars="1401"/>
        <w:rPr>
          <w:rFonts w:hint="eastAsia" w:ascii="仿宋_GB2312" w:eastAsia="仿宋_GB2312"/>
          <w:bCs/>
          <w:sz w:val="28"/>
          <w:szCs w:val="28"/>
          <w:highlight w:val="none"/>
        </w:rPr>
      </w:pPr>
      <w:r>
        <w:rPr>
          <w:rFonts w:hint="eastAsia" w:ascii="仿宋_GB2312" w:eastAsia="仿宋_GB2312"/>
          <w:bCs/>
          <w:sz w:val="28"/>
          <w:szCs w:val="28"/>
          <w:highlight w:val="none"/>
        </w:rPr>
        <w:t>（服务类）</w:t>
      </w:r>
    </w:p>
    <w:p w14:paraId="72A18AC2">
      <w:pPr>
        <w:pStyle w:val="16"/>
        <w:rPr>
          <w:rFonts w:hint="eastAsia" w:ascii="仿宋_GB2312" w:eastAsia="仿宋_GB2312"/>
          <w:bCs/>
          <w:sz w:val="28"/>
          <w:szCs w:val="28"/>
          <w:highlight w:val="none"/>
        </w:rPr>
      </w:pPr>
    </w:p>
    <w:p w14:paraId="2F0BC373">
      <w:pPr>
        <w:rPr>
          <w:rFonts w:hint="eastAsia"/>
          <w:highlight w:val="none"/>
        </w:rPr>
      </w:pPr>
    </w:p>
    <w:p w14:paraId="049DCDB8">
      <w:pPr>
        <w:tabs>
          <w:tab w:val="left" w:pos="315"/>
          <w:tab w:val="left" w:pos="8820"/>
        </w:tabs>
        <w:spacing w:line="2680" w:lineRule="exact"/>
        <w:ind w:right="267" w:rightChars="127"/>
        <w:jc w:val="center"/>
        <w:rPr>
          <w:rFonts w:hint="eastAsia" w:ascii="仿宋_GB2312" w:eastAsia="仿宋_GB2312"/>
          <w:b/>
          <w:bCs/>
          <w:sz w:val="32"/>
          <w:highlight w:val="none"/>
          <w:lang w:eastAsia="zh-CN"/>
        </w:rPr>
      </w:pPr>
      <w:r>
        <w:rPr>
          <w:rFonts w:hint="eastAsia" w:ascii="仿宋_GB2312" w:eastAsia="仿宋_GB2312"/>
          <w:b/>
          <w:bCs/>
          <w:sz w:val="32"/>
          <w:highlight w:val="none"/>
          <w:lang w:eastAsia="zh-CN"/>
        </w:rPr>
        <w:drawing>
          <wp:inline distT="0" distB="0" distL="114300" distR="114300">
            <wp:extent cx="1543050" cy="1047750"/>
            <wp:effectExtent l="0" t="0" r="0" b="0"/>
            <wp:docPr id="1" name="图片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
                    <pic:cNvPicPr>
                      <a:picLocks noChangeAspect="1"/>
                    </pic:cNvPicPr>
                  </pic:nvPicPr>
                  <pic:blipFill>
                    <a:blip r:embed="rId9"/>
                    <a:stretch>
                      <a:fillRect/>
                    </a:stretch>
                  </pic:blipFill>
                  <pic:spPr>
                    <a:xfrm>
                      <a:off x="0" y="0"/>
                      <a:ext cx="1543050" cy="1047750"/>
                    </a:xfrm>
                    <a:prstGeom prst="rect">
                      <a:avLst/>
                    </a:prstGeom>
                    <a:noFill/>
                    <a:ln>
                      <a:noFill/>
                    </a:ln>
                  </pic:spPr>
                </pic:pic>
              </a:graphicData>
            </a:graphic>
          </wp:inline>
        </w:drawing>
      </w:r>
    </w:p>
    <w:p w14:paraId="5BA28351">
      <w:pPr>
        <w:tabs>
          <w:tab w:val="left" w:pos="315"/>
          <w:tab w:val="left" w:pos="8820"/>
        </w:tabs>
        <w:spacing w:before="240" w:beforeLines="100" w:after="120" w:afterLines="50" w:line="500" w:lineRule="exact"/>
        <w:ind w:right="267" w:rightChars="127"/>
        <w:jc w:val="center"/>
        <w:rPr>
          <w:rFonts w:ascii="仿宋_GB2312" w:eastAsia="仿宋_GB2312"/>
          <w:sz w:val="44"/>
          <w:highlight w:val="none"/>
        </w:rPr>
      </w:pPr>
      <w:r>
        <w:rPr>
          <w:rFonts w:ascii="Arial Black" w:hAnsi="Arial Black" w:eastAsia="华文彩云"/>
          <w:sz w:val="44"/>
          <w:highlight w:val="none"/>
        </w:rPr>
        <w:t>http://</w:t>
      </w:r>
      <w:r>
        <w:rPr>
          <w:rFonts w:hint="eastAsia" w:ascii="Arial Black" w:hAnsi="Arial Black" w:eastAsia="华文彩云"/>
          <w:sz w:val="44"/>
          <w:highlight w:val="none"/>
        </w:rPr>
        <w:t>ahdmig.cn/</w:t>
      </w:r>
    </w:p>
    <w:p w14:paraId="2D86D2D5">
      <w:pPr>
        <w:tabs>
          <w:tab w:val="left" w:pos="2410"/>
        </w:tabs>
        <w:autoSpaceDE w:val="0"/>
        <w:autoSpaceDN w:val="0"/>
        <w:adjustRightInd w:val="0"/>
        <w:snapToGrid w:val="0"/>
        <w:spacing w:line="360" w:lineRule="auto"/>
        <w:jc w:val="left"/>
        <w:rPr>
          <w:rFonts w:ascii="宋体" w:hAnsi="DotumChe" w:cs="宋体"/>
          <w:b/>
          <w:spacing w:val="20"/>
          <w:kern w:val="0"/>
          <w:sz w:val="32"/>
          <w:szCs w:val="32"/>
          <w:highlight w:val="none"/>
        </w:rPr>
      </w:pPr>
    </w:p>
    <w:p w14:paraId="60A3E0D2">
      <w:pPr>
        <w:rPr>
          <w:rFonts w:hint="eastAsia" w:ascii="Tahoma" w:hAnsi="Tahoma"/>
          <w:sz w:val="24"/>
          <w:highlight w:val="none"/>
        </w:rPr>
      </w:pPr>
    </w:p>
    <w:p w14:paraId="13611908">
      <w:pPr>
        <w:rPr>
          <w:rFonts w:hint="eastAsia" w:ascii="Tahoma" w:hAnsi="Tahoma"/>
          <w:sz w:val="24"/>
          <w:highlight w:val="none"/>
        </w:rPr>
      </w:pPr>
    </w:p>
    <w:p w14:paraId="3985D26B">
      <w:pPr>
        <w:rPr>
          <w:rFonts w:hint="eastAsia" w:ascii="Tahoma" w:hAnsi="Tahoma"/>
          <w:sz w:val="24"/>
          <w:highlight w:val="none"/>
        </w:rPr>
      </w:pPr>
    </w:p>
    <w:p w14:paraId="6951B747">
      <w:pPr>
        <w:rPr>
          <w:rFonts w:hint="eastAsia" w:ascii="Tahoma" w:hAnsi="Tahoma"/>
          <w:sz w:val="24"/>
          <w:highlight w:val="none"/>
        </w:rPr>
      </w:pPr>
    </w:p>
    <w:p w14:paraId="76E79194">
      <w:pPr>
        <w:rPr>
          <w:rFonts w:ascii="Tahoma" w:hAnsi="Tahoma"/>
          <w:sz w:val="24"/>
          <w:highlight w:val="none"/>
        </w:rPr>
      </w:pPr>
    </w:p>
    <w:p w14:paraId="392A986B">
      <w:pPr>
        <w:tabs>
          <w:tab w:val="left" w:pos="2410"/>
        </w:tabs>
        <w:autoSpaceDE w:val="0"/>
        <w:autoSpaceDN w:val="0"/>
        <w:adjustRightInd w:val="0"/>
        <w:snapToGrid w:val="0"/>
        <w:spacing w:line="384" w:lineRule="auto"/>
        <w:ind w:left="2564" w:leftChars="456" w:hanging="1606" w:hangingChars="500"/>
        <w:jc w:val="left"/>
        <w:rPr>
          <w:rFonts w:hint="eastAsia" w:ascii="宋体" w:hAnsi="宋体" w:eastAsia="宋体" w:cs="宋体"/>
          <w:b/>
          <w:color w:val="000000"/>
          <w:kern w:val="0"/>
          <w:sz w:val="32"/>
          <w:szCs w:val="32"/>
          <w:highlight w:val="none"/>
          <w:lang w:eastAsia="zh-CN"/>
        </w:rPr>
      </w:pPr>
      <w:r>
        <w:rPr>
          <w:rFonts w:hint="eastAsia" w:ascii="宋体" w:hAnsi="宋体" w:cs="宋体"/>
          <w:b/>
          <w:color w:val="000000"/>
          <w:kern w:val="0"/>
          <w:sz w:val="32"/>
          <w:szCs w:val="32"/>
          <w:highlight w:val="none"/>
        </w:rPr>
        <w:t>项目名称：</w:t>
      </w:r>
      <w:r>
        <w:rPr>
          <w:rFonts w:hint="eastAsia" w:ascii="宋体" w:hAnsi="宋体" w:cs="宋体"/>
          <w:b/>
          <w:color w:val="000000"/>
          <w:kern w:val="0"/>
          <w:sz w:val="32"/>
          <w:szCs w:val="32"/>
          <w:highlight w:val="none"/>
          <w:u w:val="none"/>
          <w:lang w:eastAsia="zh-CN"/>
        </w:rPr>
        <w:t>霍山县绿色小水电建设工程（霍山县绿色水资源综合利用工程）绿色小水电示范电站创建申报和安全标准化达标技术咨询服务采购项目</w:t>
      </w:r>
    </w:p>
    <w:p w14:paraId="10E7CFA4">
      <w:pPr>
        <w:tabs>
          <w:tab w:val="left" w:pos="2410"/>
        </w:tabs>
        <w:autoSpaceDE w:val="0"/>
        <w:autoSpaceDN w:val="0"/>
        <w:adjustRightInd w:val="0"/>
        <w:snapToGrid w:val="0"/>
        <w:spacing w:line="384" w:lineRule="auto"/>
        <w:ind w:firstLine="964" w:firstLineChars="300"/>
        <w:jc w:val="left"/>
        <w:rPr>
          <w:rFonts w:hint="default" w:ascii="宋体" w:hAnsi="宋体" w:eastAsia="宋体" w:cs="宋体"/>
          <w:b/>
          <w:color w:val="000000"/>
          <w:kern w:val="0"/>
          <w:sz w:val="32"/>
          <w:szCs w:val="32"/>
          <w:highlight w:val="none"/>
          <w:lang w:val="en-US" w:eastAsia="zh-CN"/>
        </w:rPr>
      </w:pPr>
      <w:r>
        <w:rPr>
          <w:rFonts w:hint="eastAsia" w:ascii="宋体" w:hAnsi="宋体" w:cs="宋体"/>
          <w:b/>
          <w:color w:val="000000"/>
          <w:kern w:val="0"/>
          <w:sz w:val="32"/>
          <w:szCs w:val="32"/>
          <w:highlight w:val="none"/>
        </w:rPr>
        <w:t>项目编号：DBSCG-2024-</w:t>
      </w:r>
      <w:r>
        <w:rPr>
          <w:rFonts w:hint="eastAsia" w:ascii="宋体" w:hAnsi="宋体" w:cs="宋体"/>
          <w:b/>
          <w:bCs w:val="0"/>
          <w:color w:val="000000" w:themeColor="text1"/>
          <w:kern w:val="0"/>
          <w:sz w:val="32"/>
          <w:szCs w:val="32"/>
          <w:highlight w:val="none"/>
          <w:lang w:val="en-US" w:eastAsia="zh-CN"/>
          <w14:textFill>
            <w14:solidFill>
              <w14:schemeClr w14:val="tx1"/>
            </w14:solidFill>
          </w14:textFill>
        </w:rPr>
        <w:t>092</w:t>
      </w:r>
    </w:p>
    <w:p w14:paraId="198C8195">
      <w:pPr>
        <w:tabs>
          <w:tab w:val="left" w:pos="2410"/>
        </w:tabs>
        <w:autoSpaceDE w:val="0"/>
        <w:autoSpaceDN w:val="0"/>
        <w:adjustRightInd w:val="0"/>
        <w:snapToGrid w:val="0"/>
        <w:spacing w:line="384" w:lineRule="auto"/>
        <w:ind w:left="2564" w:leftChars="456" w:hanging="1606" w:hangingChars="500"/>
        <w:jc w:val="left"/>
        <w:rPr>
          <w:rFonts w:hint="eastAsia" w:ascii="宋体" w:hAnsi="宋体" w:cs="宋体"/>
          <w:b/>
          <w:color w:val="000000"/>
          <w:kern w:val="0"/>
          <w:sz w:val="32"/>
          <w:szCs w:val="32"/>
          <w:highlight w:val="none"/>
        </w:rPr>
      </w:pPr>
      <w:r>
        <w:rPr>
          <w:rFonts w:hint="eastAsia" w:ascii="宋体" w:hAnsi="宋体" w:cs="宋体"/>
          <w:b/>
          <w:color w:val="000000"/>
          <w:kern w:val="0"/>
          <w:sz w:val="32"/>
          <w:szCs w:val="32"/>
          <w:highlight w:val="none"/>
        </w:rPr>
        <w:t>采 购 人：霍山县水利工程项目建设中心、安徽淠河水能资源开发有限公司</w:t>
      </w:r>
    </w:p>
    <w:p w14:paraId="49D2F997">
      <w:pPr>
        <w:tabs>
          <w:tab w:val="left" w:pos="2410"/>
        </w:tabs>
        <w:autoSpaceDE w:val="0"/>
        <w:autoSpaceDN w:val="0"/>
        <w:adjustRightInd w:val="0"/>
        <w:snapToGrid w:val="0"/>
        <w:spacing w:line="384" w:lineRule="auto"/>
        <w:ind w:firstLine="964" w:firstLineChars="300"/>
        <w:jc w:val="left"/>
        <w:outlineLvl w:val="9"/>
        <w:rPr>
          <w:rFonts w:hint="eastAsia" w:ascii="宋体" w:hAnsi="宋体" w:cs="宋体"/>
          <w:b/>
          <w:color w:val="000000"/>
          <w:kern w:val="0"/>
          <w:sz w:val="32"/>
          <w:szCs w:val="32"/>
          <w:highlight w:val="none"/>
        </w:rPr>
      </w:pPr>
      <w:r>
        <w:rPr>
          <w:rFonts w:hint="eastAsia" w:ascii="宋体" w:hAnsi="宋体" w:cs="宋体"/>
          <w:b/>
          <w:color w:val="000000"/>
          <w:kern w:val="0"/>
          <w:sz w:val="32"/>
          <w:szCs w:val="32"/>
          <w:highlight w:val="none"/>
        </w:rPr>
        <w:t>代理机构：安徽大别山工程咨询有限公司</w:t>
      </w:r>
    </w:p>
    <w:p w14:paraId="77AD4233">
      <w:pPr>
        <w:tabs>
          <w:tab w:val="left" w:pos="2410"/>
        </w:tabs>
        <w:autoSpaceDE w:val="0"/>
        <w:autoSpaceDN w:val="0"/>
        <w:adjustRightInd w:val="0"/>
        <w:snapToGrid w:val="0"/>
        <w:spacing w:line="384" w:lineRule="auto"/>
        <w:ind w:firstLine="964" w:firstLineChars="300"/>
        <w:jc w:val="left"/>
        <w:rPr>
          <w:highlight w:val="none"/>
        </w:rPr>
      </w:pPr>
      <w:r>
        <w:rPr>
          <w:rFonts w:hint="eastAsia" w:ascii="宋体" w:hAnsi="宋体" w:cs="宋体"/>
          <w:b/>
          <w:color w:val="000000"/>
          <w:kern w:val="0"/>
          <w:sz w:val="32"/>
          <w:szCs w:val="32"/>
          <w:highlight w:val="none"/>
        </w:rPr>
        <w:t>采购时间：2024年</w:t>
      </w:r>
      <w:r>
        <w:rPr>
          <w:rFonts w:hint="eastAsia" w:ascii="宋体" w:hAnsi="宋体" w:cs="宋体"/>
          <w:b/>
          <w:color w:val="000000"/>
          <w:kern w:val="0"/>
          <w:sz w:val="32"/>
          <w:szCs w:val="32"/>
          <w:highlight w:val="none"/>
          <w:lang w:val="en-US" w:eastAsia="zh-CN"/>
        </w:rPr>
        <w:t>7</w:t>
      </w:r>
      <w:r>
        <w:rPr>
          <w:rFonts w:hint="eastAsia" w:ascii="宋体" w:hAnsi="宋体" w:cs="宋体"/>
          <w:b/>
          <w:color w:val="000000"/>
          <w:kern w:val="0"/>
          <w:sz w:val="32"/>
          <w:szCs w:val="32"/>
          <w:highlight w:val="none"/>
        </w:rPr>
        <w:t>月</w:t>
      </w:r>
    </w:p>
    <w:p w14:paraId="10CA8772">
      <w:pPr>
        <w:adjustRightInd w:val="0"/>
        <w:snapToGrid w:val="0"/>
        <w:spacing w:after="240" w:afterLines="100" w:line="400" w:lineRule="exact"/>
        <w:rPr>
          <w:rStyle w:val="22"/>
          <w:rFonts w:ascii="宋体" w:hAnsi="宋体"/>
          <w:b/>
          <w:bCs/>
          <w:sz w:val="40"/>
          <w:szCs w:val="36"/>
          <w:highlight w:val="none"/>
        </w:rPr>
        <w:sectPr>
          <w:footerReference r:id="rId3" w:type="default"/>
          <w:footnotePr>
            <w:numFmt w:val="decimalEnclosedCircleChinese"/>
            <w:numRestart w:val="eachPage"/>
          </w:footnotePr>
          <w:pgSz w:w="11906" w:h="16838"/>
          <w:pgMar w:top="1417" w:right="1417" w:bottom="1417" w:left="1417" w:header="851" w:footer="850" w:gutter="0"/>
          <w:pgNumType w:start="2"/>
          <w:cols w:space="720" w:num="1"/>
          <w:docGrid w:linePitch="312" w:charSpace="0"/>
        </w:sectPr>
      </w:pPr>
    </w:p>
    <w:p w14:paraId="45108F3B">
      <w:pPr>
        <w:spacing w:before="0" w:beforeLines="0" w:after="0" w:afterLines="0" w:line="240" w:lineRule="auto"/>
        <w:ind w:left="0" w:leftChars="0" w:right="0" w:rightChars="0" w:firstLine="0" w:firstLineChars="0"/>
        <w:jc w:val="center"/>
        <w:rPr>
          <w:rFonts w:hint="eastAsia" w:ascii="微软雅黑" w:hAnsi="微软雅黑" w:eastAsia="微软雅黑" w:cs="微软雅黑"/>
          <w:b/>
          <w:bCs/>
          <w:sz w:val="32"/>
          <w:szCs w:val="32"/>
          <w:highlight w:val="none"/>
        </w:rPr>
      </w:pPr>
      <w:r>
        <w:rPr>
          <w:rFonts w:hint="eastAsia" w:ascii="微软雅黑" w:hAnsi="微软雅黑" w:eastAsia="微软雅黑" w:cs="微软雅黑"/>
          <w:b/>
          <w:bCs/>
          <w:sz w:val="32"/>
          <w:szCs w:val="32"/>
          <w:highlight w:val="none"/>
        </w:rPr>
        <w:t>目</w:t>
      </w:r>
      <w:r>
        <w:rPr>
          <w:rFonts w:hint="eastAsia" w:ascii="微软雅黑" w:hAnsi="微软雅黑" w:eastAsia="微软雅黑" w:cs="微软雅黑"/>
          <w:b/>
          <w:bCs/>
          <w:sz w:val="32"/>
          <w:szCs w:val="32"/>
          <w:highlight w:val="none"/>
          <w:lang w:val="en-US" w:eastAsia="zh-CN"/>
        </w:rPr>
        <w:t xml:space="preserve">  </w:t>
      </w:r>
      <w:r>
        <w:rPr>
          <w:rFonts w:hint="eastAsia" w:ascii="微软雅黑" w:hAnsi="微软雅黑" w:eastAsia="微软雅黑" w:cs="微软雅黑"/>
          <w:b/>
          <w:bCs/>
          <w:sz w:val="32"/>
          <w:szCs w:val="32"/>
          <w:highlight w:val="none"/>
        </w:rPr>
        <w:t>录</w:t>
      </w:r>
    </w:p>
    <w:p w14:paraId="7AFE6EB1">
      <w:pPr>
        <w:pStyle w:val="19"/>
        <w:rPr>
          <w:rFonts w:hint="eastAsia"/>
          <w:highlight w:val="none"/>
        </w:rPr>
      </w:pPr>
    </w:p>
    <w:p w14:paraId="4D7C67C4">
      <w:pPr>
        <w:pStyle w:val="15"/>
        <w:tabs>
          <w:tab w:val="right" w:leader="dot" w:pos="9072"/>
        </w:tabs>
        <w:spacing w:line="360" w:lineRule="auto"/>
        <w:rPr>
          <w:sz w:val="28"/>
          <w:szCs w:val="28"/>
          <w:highlight w:val="none"/>
        </w:rPr>
      </w:pPr>
      <w:r>
        <w:rPr>
          <w:rStyle w:val="22"/>
          <w:rFonts w:ascii="Calibri" w:hAnsi="Calibri"/>
          <w:bCs/>
          <w:caps/>
          <w:sz w:val="28"/>
          <w:szCs w:val="28"/>
          <w:highlight w:val="none"/>
        </w:rPr>
        <w:fldChar w:fldCharType="begin"/>
      </w:r>
      <w:r>
        <w:rPr>
          <w:rStyle w:val="22"/>
          <w:rFonts w:ascii="Calibri" w:hAnsi="Calibri"/>
          <w:bCs/>
          <w:caps/>
          <w:sz w:val="28"/>
          <w:szCs w:val="28"/>
          <w:highlight w:val="none"/>
        </w:rPr>
        <w:instrText xml:space="preserve">TOC \o "1-1" \h \u </w:instrText>
      </w:r>
      <w:r>
        <w:rPr>
          <w:rStyle w:val="22"/>
          <w:rFonts w:ascii="Calibri" w:hAnsi="Calibri"/>
          <w:bCs/>
          <w:caps/>
          <w:sz w:val="28"/>
          <w:szCs w:val="28"/>
          <w:highlight w:val="none"/>
        </w:rPr>
        <w:fldChar w:fldCharType="separate"/>
      </w:r>
      <w:r>
        <w:rPr>
          <w:rFonts w:ascii="Calibri" w:hAnsi="Calibri"/>
          <w:bCs w:val="0"/>
          <w:caps w:val="0"/>
          <w:sz w:val="28"/>
          <w:szCs w:val="28"/>
          <w:highlight w:val="none"/>
        </w:rPr>
        <w:fldChar w:fldCharType="begin"/>
      </w:r>
      <w:r>
        <w:rPr>
          <w:rFonts w:ascii="Calibri" w:hAnsi="Calibri"/>
          <w:bCs w:val="0"/>
          <w:caps w:val="0"/>
          <w:sz w:val="28"/>
          <w:szCs w:val="28"/>
          <w:highlight w:val="none"/>
        </w:rPr>
        <w:instrText xml:space="preserve"> HYPERLINK \l _Toc9609 </w:instrText>
      </w:r>
      <w:r>
        <w:rPr>
          <w:rFonts w:ascii="Calibri" w:hAnsi="Calibri"/>
          <w:bCs w:val="0"/>
          <w:caps w:val="0"/>
          <w:sz w:val="28"/>
          <w:szCs w:val="28"/>
          <w:highlight w:val="none"/>
        </w:rPr>
        <w:fldChar w:fldCharType="separate"/>
      </w:r>
      <w:r>
        <w:rPr>
          <w:rFonts w:hint="eastAsia" w:ascii="宋体" w:hAnsi="宋体" w:cs="宋体"/>
          <w:bCs/>
          <w:caps/>
          <w:sz w:val="28"/>
          <w:szCs w:val="28"/>
          <w:highlight w:val="none"/>
        </w:rPr>
        <w:t xml:space="preserve">第一章 </w:t>
      </w:r>
      <w:r>
        <w:rPr>
          <w:rFonts w:hint="eastAsia" w:ascii="宋体" w:hAnsi="宋体" w:cs="宋体"/>
          <w:bCs/>
          <w:caps/>
          <w:sz w:val="28"/>
          <w:szCs w:val="28"/>
          <w:highlight w:val="none"/>
          <w:lang w:val="zh-CN"/>
        </w:rPr>
        <w:t>竞争谈判公告</w:t>
      </w:r>
      <w:r>
        <w:rPr>
          <w:sz w:val="28"/>
          <w:szCs w:val="28"/>
          <w:highlight w:val="none"/>
        </w:rPr>
        <w:tab/>
      </w:r>
      <w:r>
        <w:rPr>
          <w:sz w:val="28"/>
          <w:szCs w:val="28"/>
          <w:highlight w:val="none"/>
        </w:rPr>
        <w:fldChar w:fldCharType="begin"/>
      </w:r>
      <w:r>
        <w:rPr>
          <w:sz w:val="28"/>
          <w:szCs w:val="28"/>
          <w:highlight w:val="none"/>
        </w:rPr>
        <w:instrText xml:space="preserve"> PAGEREF _Toc9609 \h </w:instrText>
      </w:r>
      <w:r>
        <w:rPr>
          <w:sz w:val="28"/>
          <w:szCs w:val="28"/>
          <w:highlight w:val="none"/>
        </w:rPr>
        <w:fldChar w:fldCharType="separate"/>
      </w:r>
      <w:r>
        <w:rPr>
          <w:sz w:val="28"/>
          <w:szCs w:val="28"/>
          <w:highlight w:val="none"/>
        </w:rPr>
        <w:t>1</w:t>
      </w:r>
      <w:r>
        <w:rPr>
          <w:sz w:val="28"/>
          <w:szCs w:val="28"/>
          <w:highlight w:val="none"/>
        </w:rPr>
        <w:fldChar w:fldCharType="end"/>
      </w:r>
      <w:r>
        <w:rPr>
          <w:rFonts w:ascii="Calibri" w:hAnsi="Calibri"/>
          <w:bCs w:val="0"/>
          <w:caps w:val="0"/>
          <w:sz w:val="28"/>
          <w:szCs w:val="28"/>
          <w:highlight w:val="none"/>
        </w:rPr>
        <w:fldChar w:fldCharType="end"/>
      </w:r>
    </w:p>
    <w:p w14:paraId="1B77F8E2">
      <w:pPr>
        <w:pStyle w:val="15"/>
        <w:tabs>
          <w:tab w:val="right" w:leader="dot" w:pos="9072"/>
        </w:tabs>
        <w:spacing w:line="360" w:lineRule="auto"/>
        <w:rPr>
          <w:sz w:val="28"/>
          <w:szCs w:val="28"/>
          <w:highlight w:val="none"/>
        </w:rPr>
      </w:pPr>
      <w:r>
        <w:rPr>
          <w:rFonts w:ascii="Calibri" w:hAnsi="Calibri"/>
          <w:bCs w:val="0"/>
          <w:caps w:val="0"/>
          <w:sz w:val="28"/>
          <w:szCs w:val="28"/>
          <w:highlight w:val="none"/>
        </w:rPr>
        <w:fldChar w:fldCharType="begin"/>
      </w:r>
      <w:r>
        <w:rPr>
          <w:rFonts w:ascii="Calibri" w:hAnsi="Calibri"/>
          <w:bCs w:val="0"/>
          <w:caps w:val="0"/>
          <w:sz w:val="28"/>
          <w:szCs w:val="28"/>
          <w:highlight w:val="none"/>
        </w:rPr>
        <w:instrText xml:space="preserve"> HYPERLINK \l _Toc2310 </w:instrText>
      </w:r>
      <w:r>
        <w:rPr>
          <w:rFonts w:ascii="Calibri" w:hAnsi="Calibri"/>
          <w:bCs w:val="0"/>
          <w:caps w:val="0"/>
          <w:sz w:val="28"/>
          <w:szCs w:val="28"/>
          <w:highlight w:val="none"/>
        </w:rPr>
        <w:fldChar w:fldCharType="separate"/>
      </w:r>
      <w:r>
        <w:rPr>
          <w:rFonts w:hint="eastAsia" w:ascii="宋体" w:hAnsi="宋体" w:cs="宋体"/>
          <w:bCs/>
          <w:caps/>
          <w:kern w:val="0"/>
          <w:sz w:val="28"/>
          <w:szCs w:val="28"/>
          <w:highlight w:val="none"/>
          <w:lang w:val="zh-CN"/>
        </w:rPr>
        <w:t>第二章 供应商须知</w:t>
      </w:r>
      <w:r>
        <w:rPr>
          <w:sz w:val="28"/>
          <w:szCs w:val="28"/>
          <w:highlight w:val="none"/>
        </w:rPr>
        <w:tab/>
      </w:r>
      <w:r>
        <w:rPr>
          <w:sz w:val="28"/>
          <w:szCs w:val="28"/>
          <w:highlight w:val="none"/>
        </w:rPr>
        <w:fldChar w:fldCharType="begin"/>
      </w:r>
      <w:r>
        <w:rPr>
          <w:sz w:val="28"/>
          <w:szCs w:val="28"/>
          <w:highlight w:val="none"/>
        </w:rPr>
        <w:instrText xml:space="preserve"> PAGEREF _Toc2310 \h </w:instrText>
      </w:r>
      <w:r>
        <w:rPr>
          <w:sz w:val="28"/>
          <w:szCs w:val="28"/>
          <w:highlight w:val="none"/>
        </w:rPr>
        <w:fldChar w:fldCharType="separate"/>
      </w:r>
      <w:r>
        <w:rPr>
          <w:sz w:val="28"/>
          <w:szCs w:val="28"/>
          <w:highlight w:val="none"/>
        </w:rPr>
        <w:t>3</w:t>
      </w:r>
      <w:r>
        <w:rPr>
          <w:sz w:val="28"/>
          <w:szCs w:val="28"/>
          <w:highlight w:val="none"/>
        </w:rPr>
        <w:fldChar w:fldCharType="end"/>
      </w:r>
      <w:r>
        <w:rPr>
          <w:rFonts w:ascii="Calibri" w:hAnsi="Calibri"/>
          <w:bCs w:val="0"/>
          <w:caps w:val="0"/>
          <w:sz w:val="28"/>
          <w:szCs w:val="28"/>
          <w:highlight w:val="none"/>
        </w:rPr>
        <w:fldChar w:fldCharType="end"/>
      </w:r>
    </w:p>
    <w:p w14:paraId="2EC8FD7F">
      <w:pPr>
        <w:pStyle w:val="15"/>
        <w:tabs>
          <w:tab w:val="right" w:leader="dot" w:pos="9072"/>
        </w:tabs>
        <w:spacing w:line="360" w:lineRule="auto"/>
        <w:rPr>
          <w:sz w:val="28"/>
          <w:szCs w:val="28"/>
          <w:highlight w:val="none"/>
        </w:rPr>
      </w:pPr>
      <w:r>
        <w:rPr>
          <w:rFonts w:ascii="Calibri" w:hAnsi="Calibri"/>
          <w:bCs w:val="0"/>
          <w:caps w:val="0"/>
          <w:sz w:val="28"/>
          <w:szCs w:val="28"/>
          <w:highlight w:val="none"/>
        </w:rPr>
        <w:fldChar w:fldCharType="begin"/>
      </w:r>
      <w:r>
        <w:rPr>
          <w:rFonts w:ascii="Calibri" w:hAnsi="Calibri"/>
          <w:bCs w:val="0"/>
          <w:caps w:val="0"/>
          <w:sz w:val="28"/>
          <w:szCs w:val="28"/>
          <w:highlight w:val="none"/>
        </w:rPr>
        <w:instrText xml:space="preserve"> HYPERLINK \l _Toc1839 </w:instrText>
      </w:r>
      <w:r>
        <w:rPr>
          <w:rFonts w:ascii="Calibri" w:hAnsi="Calibri"/>
          <w:bCs w:val="0"/>
          <w:caps w:val="0"/>
          <w:sz w:val="28"/>
          <w:szCs w:val="28"/>
          <w:highlight w:val="none"/>
        </w:rPr>
        <w:fldChar w:fldCharType="separate"/>
      </w:r>
      <w:r>
        <w:rPr>
          <w:rFonts w:hint="eastAsia" w:ascii="宋体" w:hAnsi="宋体" w:cs="宋体"/>
          <w:caps/>
          <w:kern w:val="2"/>
          <w:sz w:val="28"/>
          <w:szCs w:val="28"/>
          <w:highlight w:val="none"/>
          <w:lang w:val="zh-CN"/>
        </w:rPr>
        <w:t>第</w:t>
      </w:r>
      <w:r>
        <w:rPr>
          <w:rFonts w:hint="eastAsia" w:ascii="宋体" w:hAnsi="宋体" w:cs="宋体"/>
          <w:caps/>
          <w:kern w:val="2"/>
          <w:sz w:val="28"/>
          <w:szCs w:val="28"/>
          <w:highlight w:val="none"/>
        </w:rPr>
        <w:t>三</w:t>
      </w:r>
      <w:r>
        <w:rPr>
          <w:rFonts w:hint="eastAsia" w:ascii="宋体" w:hAnsi="宋体" w:cs="宋体"/>
          <w:caps/>
          <w:kern w:val="2"/>
          <w:sz w:val="28"/>
          <w:szCs w:val="28"/>
          <w:highlight w:val="none"/>
          <w:lang w:val="zh-CN"/>
        </w:rPr>
        <w:t>章</w:t>
      </w:r>
      <w:r>
        <w:rPr>
          <w:rFonts w:hint="eastAsia" w:ascii="宋体" w:hAnsi="宋体" w:cs="宋体"/>
          <w:caps/>
          <w:kern w:val="2"/>
          <w:sz w:val="28"/>
          <w:szCs w:val="28"/>
          <w:highlight w:val="none"/>
        </w:rPr>
        <w:t xml:space="preserve"> </w:t>
      </w:r>
      <w:r>
        <w:rPr>
          <w:rFonts w:hint="eastAsia" w:ascii="宋体" w:hAnsi="宋体" w:cs="宋体"/>
          <w:sz w:val="28"/>
          <w:szCs w:val="28"/>
          <w:highlight w:val="none"/>
        </w:rPr>
        <w:t>采购合同</w:t>
      </w:r>
      <w:r>
        <w:rPr>
          <w:sz w:val="28"/>
          <w:szCs w:val="28"/>
          <w:highlight w:val="none"/>
        </w:rPr>
        <w:tab/>
      </w:r>
      <w:r>
        <w:rPr>
          <w:sz w:val="28"/>
          <w:szCs w:val="28"/>
          <w:highlight w:val="none"/>
        </w:rPr>
        <w:fldChar w:fldCharType="begin"/>
      </w:r>
      <w:r>
        <w:rPr>
          <w:sz w:val="28"/>
          <w:szCs w:val="28"/>
          <w:highlight w:val="none"/>
        </w:rPr>
        <w:instrText xml:space="preserve"> PAGEREF _Toc1839 \h </w:instrText>
      </w:r>
      <w:r>
        <w:rPr>
          <w:sz w:val="28"/>
          <w:szCs w:val="28"/>
          <w:highlight w:val="none"/>
        </w:rPr>
        <w:fldChar w:fldCharType="separate"/>
      </w:r>
      <w:r>
        <w:rPr>
          <w:sz w:val="28"/>
          <w:szCs w:val="28"/>
          <w:highlight w:val="none"/>
        </w:rPr>
        <w:t>11</w:t>
      </w:r>
      <w:r>
        <w:rPr>
          <w:sz w:val="28"/>
          <w:szCs w:val="28"/>
          <w:highlight w:val="none"/>
        </w:rPr>
        <w:fldChar w:fldCharType="end"/>
      </w:r>
      <w:r>
        <w:rPr>
          <w:rFonts w:ascii="Calibri" w:hAnsi="Calibri"/>
          <w:bCs w:val="0"/>
          <w:caps w:val="0"/>
          <w:sz w:val="28"/>
          <w:szCs w:val="28"/>
          <w:highlight w:val="none"/>
        </w:rPr>
        <w:fldChar w:fldCharType="end"/>
      </w:r>
    </w:p>
    <w:p w14:paraId="53688FD7">
      <w:pPr>
        <w:pStyle w:val="15"/>
        <w:tabs>
          <w:tab w:val="right" w:leader="dot" w:pos="9072"/>
        </w:tabs>
        <w:spacing w:line="360" w:lineRule="auto"/>
        <w:rPr>
          <w:sz w:val="28"/>
          <w:szCs w:val="28"/>
          <w:highlight w:val="none"/>
        </w:rPr>
      </w:pPr>
      <w:r>
        <w:rPr>
          <w:rFonts w:ascii="Calibri" w:hAnsi="Calibri"/>
          <w:bCs w:val="0"/>
          <w:caps w:val="0"/>
          <w:sz w:val="28"/>
          <w:szCs w:val="28"/>
          <w:highlight w:val="none"/>
        </w:rPr>
        <w:fldChar w:fldCharType="begin"/>
      </w:r>
      <w:r>
        <w:rPr>
          <w:rFonts w:ascii="Calibri" w:hAnsi="Calibri"/>
          <w:bCs w:val="0"/>
          <w:caps w:val="0"/>
          <w:sz w:val="28"/>
          <w:szCs w:val="28"/>
          <w:highlight w:val="none"/>
        </w:rPr>
        <w:instrText xml:space="preserve"> HYPERLINK \l _Toc15495 </w:instrText>
      </w:r>
      <w:r>
        <w:rPr>
          <w:rFonts w:ascii="Calibri" w:hAnsi="Calibri"/>
          <w:bCs w:val="0"/>
          <w:caps w:val="0"/>
          <w:sz w:val="28"/>
          <w:szCs w:val="28"/>
          <w:highlight w:val="none"/>
        </w:rPr>
        <w:fldChar w:fldCharType="separate"/>
      </w:r>
      <w:r>
        <w:rPr>
          <w:rFonts w:hint="eastAsia" w:ascii="宋体" w:hAnsi="宋体" w:cs="宋体"/>
          <w:caps/>
          <w:kern w:val="2"/>
          <w:sz w:val="28"/>
          <w:szCs w:val="28"/>
          <w:highlight w:val="none"/>
        </w:rPr>
        <w:t>第四章 采购需求</w:t>
      </w:r>
      <w:r>
        <w:rPr>
          <w:sz w:val="28"/>
          <w:szCs w:val="28"/>
          <w:highlight w:val="none"/>
        </w:rPr>
        <w:tab/>
      </w:r>
      <w:r>
        <w:rPr>
          <w:sz w:val="28"/>
          <w:szCs w:val="28"/>
          <w:highlight w:val="none"/>
        </w:rPr>
        <w:fldChar w:fldCharType="begin"/>
      </w:r>
      <w:r>
        <w:rPr>
          <w:sz w:val="28"/>
          <w:szCs w:val="28"/>
          <w:highlight w:val="none"/>
        </w:rPr>
        <w:instrText xml:space="preserve"> PAGEREF _Toc15495 \h </w:instrText>
      </w:r>
      <w:r>
        <w:rPr>
          <w:sz w:val="28"/>
          <w:szCs w:val="28"/>
          <w:highlight w:val="none"/>
        </w:rPr>
        <w:fldChar w:fldCharType="separate"/>
      </w:r>
      <w:r>
        <w:rPr>
          <w:sz w:val="28"/>
          <w:szCs w:val="28"/>
          <w:highlight w:val="none"/>
        </w:rPr>
        <w:t>12</w:t>
      </w:r>
      <w:r>
        <w:rPr>
          <w:sz w:val="28"/>
          <w:szCs w:val="28"/>
          <w:highlight w:val="none"/>
        </w:rPr>
        <w:fldChar w:fldCharType="end"/>
      </w:r>
      <w:r>
        <w:rPr>
          <w:rFonts w:ascii="Calibri" w:hAnsi="Calibri"/>
          <w:bCs w:val="0"/>
          <w:caps w:val="0"/>
          <w:sz w:val="28"/>
          <w:szCs w:val="28"/>
          <w:highlight w:val="none"/>
        </w:rPr>
        <w:fldChar w:fldCharType="end"/>
      </w:r>
    </w:p>
    <w:p w14:paraId="426228E6">
      <w:pPr>
        <w:pStyle w:val="15"/>
        <w:tabs>
          <w:tab w:val="right" w:leader="dot" w:pos="9072"/>
        </w:tabs>
        <w:spacing w:line="360" w:lineRule="auto"/>
        <w:rPr>
          <w:sz w:val="28"/>
          <w:szCs w:val="28"/>
          <w:highlight w:val="none"/>
        </w:rPr>
      </w:pPr>
      <w:r>
        <w:rPr>
          <w:rFonts w:ascii="Calibri" w:hAnsi="Calibri"/>
          <w:bCs w:val="0"/>
          <w:caps w:val="0"/>
          <w:sz w:val="28"/>
          <w:szCs w:val="28"/>
          <w:highlight w:val="none"/>
        </w:rPr>
        <w:fldChar w:fldCharType="begin"/>
      </w:r>
      <w:r>
        <w:rPr>
          <w:rFonts w:ascii="Calibri" w:hAnsi="Calibri"/>
          <w:bCs w:val="0"/>
          <w:caps w:val="0"/>
          <w:sz w:val="28"/>
          <w:szCs w:val="28"/>
          <w:highlight w:val="none"/>
        </w:rPr>
        <w:instrText xml:space="preserve"> HYPERLINK \l _Toc20469 </w:instrText>
      </w:r>
      <w:r>
        <w:rPr>
          <w:rFonts w:ascii="Calibri" w:hAnsi="Calibri"/>
          <w:bCs w:val="0"/>
          <w:caps w:val="0"/>
          <w:sz w:val="28"/>
          <w:szCs w:val="28"/>
          <w:highlight w:val="none"/>
        </w:rPr>
        <w:fldChar w:fldCharType="separate"/>
      </w:r>
      <w:r>
        <w:rPr>
          <w:rFonts w:hint="eastAsia" w:ascii="宋体" w:hAnsi="宋体" w:cs="宋体"/>
          <w:caps/>
          <w:kern w:val="2"/>
          <w:sz w:val="28"/>
          <w:szCs w:val="28"/>
          <w:highlight w:val="none"/>
          <w:lang w:val="zh-CN"/>
        </w:rPr>
        <w:t>第</w:t>
      </w:r>
      <w:r>
        <w:rPr>
          <w:rFonts w:hint="eastAsia" w:ascii="宋体" w:hAnsi="宋体" w:cs="宋体"/>
          <w:caps/>
          <w:kern w:val="2"/>
          <w:sz w:val="28"/>
          <w:szCs w:val="28"/>
          <w:highlight w:val="none"/>
        </w:rPr>
        <w:t>五</w:t>
      </w:r>
      <w:r>
        <w:rPr>
          <w:rFonts w:hint="eastAsia" w:ascii="宋体" w:hAnsi="宋体" w:cs="宋体"/>
          <w:caps/>
          <w:kern w:val="2"/>
          <w:sz w:val="28"/>
          <w:szCs w:val="28"/>
          <w:highlight w:val="none"/>
          <w:lang w:val="zh-CN"/>
        </w:rPr>
        <w:t>章 评审办法</w:t>
      </w:r>
      <w:r>
        <w:rPr>
          <w:sz w:val="28"/>
          <w:szCs w:val="28"/>
          <w:highlight w:val="none"/>
        </w:rPr>
        <w:tab/>
      </w:r>
      <w:r>
        <w:rPr>
          <w:sz w:val="28"/>
          <w:szCs w:val="28"/>
          <w:highlight w:val="none"/>
        </w:rPr>
        <w:fldChar w:fldCharType="begin"/>
      </w:r>
      <w:r>
        <w:rPr>
          <w:sz w:val="28"/>
          <w:szCs w:val="28"/>
          <w:highlight w:val="none"/>
        </w:rPr>
        <w:instrText xml:space="preserve"> PAGEREF _Toc20469 \h </w:instrText>
      </w:r>
      <w:r>
        <w:rPr>
          <w:sz w:val="28"/>
          <w:szCs w:val="28"/>
          <w:highlight w:val="none"/>
        </w:rPr>
        <w:fldChar w:fldCharType="separate"/>
      </w:r>
      <w:r>
        <w:rPr>
          <w:sz w:val="28"/>
          <w:szCs w:val="28"/>
          <w:highlight w:val="none"/>
        </w:rPr>
        <w:t>14</w:t>
      </w:r>
      <w:r>
        <w:rPr>
          <w:sz w:val="28"/>
          <w:szCs w:val="28"/>
          <w:highlight w:val="none"/>
        </w:rPr>
        <w:fldChar w:fldCharType="end"/>
      </w:r>
      <w:r>
        <w:rPr>
          <w:rFonts w:ascii="Calibri" w:hAnsi="Calibri"/>
          <w:bCs w:val="0"/>
          <w:caps w:val="0"/>
          <w:sz w:val="28"/>
          <w:szCs w:val="28"/>
          <w:highlight w:val="none"/>
        </w:rPr>
        <w:fldChar w:fldCharType="end"/>
      </w:r>
    </w:p>
    <w:p w14:paraId="4E092F6B">
      <w:pPr>
        <w:pStyle w:val="15"/>
        <w:tabs>
          <w:tab w:val="right" w:leader="dot" w:pos="9072"/>
        </w:tabs>
        <w:spacing w:line="360" w:lineRule="auto"/>
        <w:rPr>
          <w:sz w:val="28"/>
          <w:szCs w:val="28"/>
          <w:highlight w:val="none"/>
        </w:rPr>
      </w:pPr>
      <w:r>
        <w:rPr>
          <w:rFonts w:ascii="Calibri" w:hAnsi="Calibri"/>
          <w:bCs w:val="0"/>
          <w:caps w:val="0"/>
          <w:sz w:val="28"/>
          <w:szCs w:val="28"/>
          <w:highlight w:val="none"/>
        </w:rPr>
        <w:fldChar w:fldCharType="begin"/>
      </w:r>
      <w:r>
        <w:rPr>
          <w:rFonts w:ascii="Calibri" w:hAnsi="Calibri"/>
          <w:bCs w:val="0"/>
          <w:caps w:val="0"/>
          <w:sz w:val="28"/>
          <w:szCs w:val="28"/>
          <w:highlight w:val="none"/>
        </w:rPr>
        <w:instrText xml:space="preserve"> HYPERLINK \l _Toc29310 </w:instrText>
      </w:r>
      <w:r>
        <w:rPr>
          <w:rFonts w:ascii="Calibri" w:hAnsi="Calibri"/>
          <w:bCs w:val="0"/>
          <w:caps w:val="0"/>
          <w:sz w:val="28"/>
          <w:szCs w:val="28"/>
          <w:highlight w:val="none"/>
        </w:rPr>
        <w:fldChar w:fldCharType="separate"/>
      </w:r>
      <w:r>
        <w:rPr>
          <w:rFonts w:hint="eastAsia" w:ascii="宋体" w:hAnsi="宋体" w:cs="宋体"/>
          <w:caps/>
          <w:kern w:val="2"/>
          <w:sz w:val="28"/>
          <w:szCs w:val="28"/>
          <w:highlight w:val="none"/>
          <w:lang w:val="zh-CN"/>
        </w:rPr>
        <w:t>第</w:t>
      </w:r>
      <w:r>
        <w:rPr>
          <w:rFonts w:hint="eastAsia" w:ascii="宋体" w:hAnsi="宋体" w:cs="宋体"/>
          <w:caps/>
          <w:kern w:val="2"/>
          <w:sz w:val="28"/>
          <w:szCs w:val="28"/>
          <w:highlight w:val="none"/>
        </w:rPr>
        <w:t>六</w:t>
      </w:r>
      <w:r>
        <w:rPr>
          <w:rFonts w:hint="eastAsia" w:ascii="宋体" w:hAnsi="宋体" w:cs="宋体"/>
          <w:caps/>
          <w:kern w:val="2"/>
          <w:sz w:val="28"/>
          <w:szCs w:val="28"/>
          <w:highlight w:val="none"/>
          <w:lang w:val="zh-CN"/>
        </w:rPr>
        <w:t>章 谈判响应文件格式</w:t>
      </w:r>
      <w:r>
        <w:rPr>
          <w:sz w:val="28"/>
          <w:szCs w:val="28"/>
          <w:highlight w:val="none"/>
        </w:rPr>
        <w:tab/>
      </w:r>
      <w:r>
        <w:rPr>
          <w:sz w:val="28"/>
          <w:szCs w:val="28"/>
          <w:highlight w:val="none"/>
        </w:rPr>
        <w:fldChar w:fldCharType="begin"/>
      </w:r>
      <w:r>
        <w:rPr>
          <w:sz w:val="28"/>
          <w:szCs w:val="28"/>
          <w:highlight w:val="none"/>
        </w:rPr>
        <w:instrText xml:space="preserve"> PAGEREF _Toc29310 \h </w:instrText>
      </w:r>
      <w:r>
        <w:rPr>
          <w:sz w:val="28"/>
          <w:szCs w:val="28"/>
          <w:highlight w:val="none"/>
        </w:rPr>
        <w:fldChar w:fldCharType="separate"/>
      </w:r>
      <w:r>
        <w:rPr>
          <w:sz w:val="28"/>
          <w:szCs w:val="28"/>
          <w:highlight w:val="none"/>
        </w:rPr>
        <w:t>19</w:t>
      </w:r>
      <w:r>
        <w:rPr>
          <w:sz w:val="28"/>
          <w:szCs w:val="28"/>
          <w:highlight w:val="none"/>
        </w:rPr>
        <w:fldChar w:fldCharType="end"/>
      </w:r>
      <w:r>
        <w:rPr>
          <w:rFonts w:ascii="Calibri" w:hAnsi="Calibri"/>
          <w:bCs w:val="0"/>
          <w:caps w:val="0"/>
          <w:sz w:val="28"/>
          <w:szCs w:val="28"/>
          <w:highlight w:val="none"/>
        </w:rPr>
        <w:fldChar w:fldCharType="end"/>
      </w:r>
    </w:p>
    <w:p w14:paraId="01FC5E16">
      <w:pPr>
        <w:pStyle w:val="23"/>
        <w:widowControl/>
        <w:tabs>
          <w:tab w:val="right" w:leader="dot" w:pos="9062"/>
        </w:tabs>
        <w:ind w:left="440" w:hanging="440"/>
        <w:outlineLvl w:val="9"/>
        <w:rPr>
          <w:rStyle w:val="22"/>
          <w:rFonts w:ascii="Calibri" w:hAnsi="Calibri"/>
          <w:bCs/>
          <w:caps/>
          <w:sz w:val="28"/>
          <w:szCs w:val="32"/>
          <w:highlight w:val="none"/>
        </w:rPr>
      </w:pPr>
      <w:r>
        <w:rPr>
          <w:rFonts w:ascii="Calibri" w:hAnsi="Calibri"/>
          <w:bCs w:val="0"/>
          <w:caps w:val="0"/>
          <w:sz w:val="28"/>
          <w:szCs w:val="28"/>
          <w:highlight w:val="none"/>
        </w:rPr>
        <w:fldChar w:fldCharType="end"/>
      </w:r>
    </w:p>
    <w:p w14:paraId="071EDB68">
      <w:pPr>
        <w:pStyle w:val="24"/>
        <w:widowControl/>
        <w:spacing w:line="400" w:lineRule="exact"/>
        <w:ind w:firstLine="640"/>
        <w:rPr>
          <w:rStyle w:val="22"/>
          <w:rFonts w:ascii="黑体" w:hAnsi="黑体" w:eastAsia="黑体"/>
          <w:kern w:val="0"/>
          <w:sz w:val="32"/>
          <w:szCs w:val="32"/>
          <w:highlight w:val="none"/>
        </w:rPr>
      </w:pPr>
    </w:p>
    <w:p w14:paraId="3F644A88">
      <w:pPr>
        <w:pStyle w:val="24"/>
        <w:widowControl/>
        <w:spacing w:line="400" w:lineRule="exact"/>
        <w:ind w:firstLine="640"/>
        <w:rPr>
          <w:rStyle w:val="22"/>
          <w:rFonts w:ascii="黑体" w:hAnsi="黑体" w:eastAsia="黑体"/>
          <w:kern w:val="0"/>
          <w:sz w:val="32"/>
          <w:szCs w:val="32"/>
          <w:highlight w:val="none"/>
        </w:rPr>
        <w:sectPr>
          <w:footerReference r:id="rId4" w:type="default"/>
          <w:footnotePr>
            <w:numFmt w:val="decimalEnclosedCircleChinese"/>
            <w:numRestart w:val="eachPage"/>
          </w:footnotePr>
          <w:pgSz w:w="11906" w:h="16838"/>
          <w:pgMar w:top="1417" w:right="1417" w:bottom="1417" w:left="1417" w:header="851" w:footer="850" w:gutter="0"/>
          <w:pgNumType w:start="1"/>
          <w:cols w:space="720" w:num="1"/>
          <w:docGrid w:linePitch="312" w:charSpace="0"/>
        </w:sectPr>
      </w:pPr>
    </w:p>
    <w:p w14:paraId="230D8989">
      <w:pPr>
        <w:pStyle w:val="25"/>
        <w:shd w:val="clear" w:color="auto" w:fill="FFFFFF"/>
        <w:spacing w:line="380" w:lineRule="atLeast"/>
        <w:jc w:val="center"/>
        <w:outlineLvl w:val="0"/>
        <w:rPr>
          <w:rFonts w:hint="eastAsia" w:ascii="宋体" w:hAnsi="宋体" w:cs="宋体"/>
          <w:b/>
          <w:bCs/>
          <w:caps/>
          <w:sz w:val="30"/>
          <w:szCs w:val="30"/>
          <w:highlight w:val="none"/>
          <w:lang w:val="zh-CN"/>
        </w:rPr>
      </w:pPr>
      <w:bookmarkStart w:id="0" w:name="_Toc9609"/>
      <w:bookmarkStart w:id="1" w:name="_Toc12080"/>
      <w:r>
        <w:rPr>
          <w:rFonts w:hint="eastAsia" w:ascii="宋体" w:hAnsi="宋体" w:cs="宋体"/>
          <w:b/>
          <w:bCs/>
          <w:caps/>
          <w:sz w:val="30"/>
          <w:szCs w:val="30"/>
          <w:highlight w:val="none"/>
        </w:rPr>
        <w:t xml:space="preserve">第一章 </w:t>
      </w:r>
      <w:r>
        <w:rPr>
          <w:rFonts w:hint="eastAsia" w:ascii="宋体" w:hAnsi="宋体" w:cs="宋体"/>
          <w:b/>
          <w:bCs/>
          <w:caps/>
          <w:sz w:val="30"/>
          <w:szCs w:val="30"/>
          <w:highlight w:val="none"/>
          <w:lang w:val="zh-CN"/>
        </w:rPr>
        <w:t>竞争谈判公告</w:t>
      </w:r>
      <w:bookmarkEnd w:id="0"/>
      <w:bookmarkEnd w:id="1"/>
      <w:bookmarkStart w:id="61" w:name="_GoBack"/>
      <w:bookmarkEnd w:id="61"/>
    </w:p>
    <w:p w14:paraId="032F46EC">
      <w:pPr>
        <w:widowControl/>
        <w:shd w:val="clear" w:color="auto" w:fill="FFFFFF"/>
        <w:adjustRightInd w:val="0"/>
        <w:snapToGrid w:val="0"/>
        <w:spacing w:line="300" w:lineRule="exact"/>
        <w:jc w:val="left"/>
        <w:rPr>
          <w:rFonts w:hint="eastAsia" w:ascii="宋体" w:hAnsi="宋体" w:cs="宋体"/>
          <w:color w:val="000000"/>
          <w:kern w:val="0"/>
          <w:szCs w:val="21"/>
          <w:highlight w:val="none"/>
          <w:u w:val="single"/>
          <w:shd w:val="clear" w:color="auto" w:fill="FFFFFF"/>
          <w:lang w:bidi="ar"/>
        </w:rPr>
      </w:pPr>
    </w:p>
    <w:p w14:paraId="186B7466">
      <w:pPr>
        <w:widowControl/>
        <w:shd w:val="clear" w:color="auto" w:fill="FFFFFF"/>
        <w:adjustRightInd w:val="0"/>
        <w:snapToGrid w:val="0"/>
        <w:spacing w:line="440" w:lineRule="exact"/>
        <w:ind w:firstLine="420"/>
        <w:jc w:val="left"/>
        <w:rPr>
          <w:rFonts w:hint="eastAsia" w:ascii="宋体" w:hAnsi="宋体" w:cs="宋体"/>
          <w:b/>
          <w:bCs/>
          <w:caps/>
          <w:sz w:val="30"/>
          <w:szCs w:val="30"/>
          <w:highlight w:val="none"/>
          <w:lang w:val="zh-CN"/>
        </w:rPr>
      </w:pPr>
      <w:r>
        <w:rPr>
          <w:rFonts w:hint="eastAsia" w:ascii="宋体" w:hAnsi="宋体" w:cs="宋体"/>
          <w:color w:val="000000"/>
          <w:kern w:val="0"/>
          <w:szCs w:val="21"/>
          <w:highlight w:val="none"/>
          <w:u w:val="single"/>
          <w:shd w:val="clear" w:color="auto" w:fill="FFFFFF"/>
          <w:lang w:bidi="ar"/>
        </w:rPr>
        <w:t>安徽大别山工程咨询有限公司</w:t>
      </w:r>
      <w:r>
        <w:rPr>
          <w:rFonts w:hint="eastAsia" w:ascii="宋体" w:hAnsi="宋体" w:cs="宋体"/>
          <w:color w:val="000000"/>
          <w:kern w:val="0"/>
          <w:szCs w:val="21"/>
          <w:highlight w:val="none"/>
          <w:shd w:val="clear" w:color="auto" w:fill="FFFFFF"/>
          <w:lang w:bidi="ar"/>
        </w:rPr>
        <w:t>受</w:t>
      </w:r>
      <w:r>
        <w:rPr>
          <w:rFonts w:hint="eastAsia" w:ascii="宋体" w:hAnsi="宋体" w:cs="宋体"/>
          <w:color w:val="000000"/>
          <w:kern w:val="0"/>
          <w:szCs w:val="21"/>
          <w:highlight w:val="none"/>
          <w:u w:val="single"/>
          <w:shd w:val="clear" w:color="auto" w:fill="FFFFFF"/>
          <w:lang w:bidi="ar"/>
        </w:rPr>
        <w:t>霍山县水利工程项目建设中心、安徽淠河水能资源开发有限公司</w:t>
      </w:r>
      <w:r>
        <w:rPr>
          <w:rFonts w:hint="eastAsia" w:ascii="宋体" w:hAnsi="宋体" w:cs="宋体"/>
          <w:color w:val="000000"/>
          <w:kern w:val="0"/>
          <w:szCs w:val="21"/>
          <w:highlight w:val="none"/>
          <w:shd w:val="clear" w:color="auto" w:fill="FFFFFF"/>
          <w:lang w:bidi="ar"/>
        </w:rPr>
        <w:t>委托，代理</w:t>
      </w:r>
      <w:r>
        <w:rPr>
          <w:rFonts w:hint="eastAsia" w:ascii="宋体" w:hAnsi="宋体" w:cs="宋体"/>
          <w:b w:val="0"/>
          <w:bCs/>
          <w:color w:val="000000"/>
          <w:kern w:val="0"/>
          <w:szCs w:val="21"/>
          <w:highlight w:val="none"/>
          <w:u w:val="single"/>
          <w:shd w:val="clear" w:color="auto" w:fill="FFFFFF"/>
          <w:lang w:eastAsia="zh-CN" w:bidi="ar"/>
        </w:rPr>
        <w:t>霍山县绿色小水电建设工程（霍山县绿色水资源综合利用工程）绿色小水电示范电站创建申报和安全标准化达标技术咨询服务采购项目</w:t>
      </w:r>
      <w:r>
        <w:rPr>
          <w:rFonts w:hint="eastAsia" w:ascii="宋体" w:hAnsi="宋体" w:cs="宋体"/>
          <w:color w:val="000000"/>
          <w:kern w:val="0"/>
          <w:szCs w:val="21"/>
          <w:highlight w:val="none"/>
          <w:shd w:val="clear" w:color="auto" w:fill="FFFFFF"/>
          <w:lang w:bidi="ar"/>
        </w:rPr>
        <w:t>，</w:t>
      </w:r>
      <w:r>
        <w:rPr>
          <w:rFonts w:hint="eastAsia" w:ascii="宋体" w:hAnsi="宋体" w:cs="宋体"/>
          <w:color w:val="000000"/>
          <w:kern w:val="0"/>
          <w:szCs w:val="21"/>
          <w:highlight w:val="none"/>
          <w:shd w:val="clear" w:color="auto" w:fill="FFFFFF"/>
          <w:lang w:val="en-US" w:eastAsia="zh-CN" w:bidi="ar"/>
        </w:rPr>
        <w:t>经安徽大别山水利投资有限公司批准，</w:t>
      </w:r>
      <w:r>
        <w:rPr>
          <w:rFonts w:hint="eastAsia" w:ascii="宋体" w:hAnsi="宋体" w:cs="宋体"/>
          <w:color w:val="000000"/>
          <w:kern w:val="0"/>
          <w:szCs w:val="21"/>
          <w:highlight w:val="none"/>
          <w:shd w:val="clear" w:color="auto" w:fill="FFFFFF"/>
          <w:lang w:bidi="ar"/>
        </w:rPr>
        <w:t>根据《国有企业采购操作规范》及《安徽霍山国有资产投资控股集团有限公司招标采购管理制度（试行）》，本项目采用</w:t>
      </w:r>
      <w:r>
        <w:rPr>
          <w:rFonts w:hint="eastAsia" w:ascii="宋体" w:hAnsi="宋体" w:cs="宋体"/>
          <w:color w:val="000000"/>
          <w:kern w:val="0"/>
          <w:szCs w:val="21"/>
          <w:highlight w:val="none"/>
          <w:u w:val="single"/>
          <w:shd w:val="clear" w:color="auto" w:fill="FFFFFF"/>
          <w:lang w:bidi="ar"/>
        </w:rPr>
        <w:t>竞争谈判</w:t>
      </w:r>
      <w:r>
        <w:rPr>
          <w:rFonts w:hint="eastAsia" w:ascii="宋体" w:hAnsi="宋体" w:cs="宋体"/>
          <w:color w:val="000000"/>
          <w:kern w:val="0"/>
          <w:szCs w:val="21"/>
          <w:highlight w:val="none"/>
          <w:shd w:val="clear" w:color="auto" w:fill="FFFFFF"/>
          <w:lang w:bidi="ar"/>
        </w:rPr>
        <w:t>方式采购，已具备采购条件，欢迎具备条件的国内供应商参加竞争谈判。</w:t>
      </w:r>
    </w:p>
    <w:p w14:paraId="114748C0">
      <w:pPr>
        <w:widowControl/>
        <w:shd w:val="clear" w:color="auto" w:fill="FFFFFF"/>
        <w:adjustRightInd w:val="0"/>
        <w:snapToGrid w:val="0"/>
        <w:spacing w:line="440" w:lineRule="exact"/>
        <w:rPr>
          <w:rFonts w:hint="eastAsia" w:ascii="宋体" w:hAnsi="宋体" w:cs="宋体"/>
          <w:kern w:val="0"/>
          <w:szCs w:val="21"/>
          <w:highlight w:val="none"/>
        </w:rPr>
      </w:pPr>
      <w:r>
        <w:rPr>
          <w:rFonts w:hint="eastAsia" w:ascii="宋体" w:hAnsi="宋体" w:cs="宋体"/>
          <w:b/>
          <w:bCs/>
          <w:kern w:val="0"/>
          <w:szCs w:val="21"/>
          <w:highlight w:val="none"/>
        </w:rPr>
        <w:t>一、项目名称及内容</w:t>
      </w:r>
    </w:p>
    <w:p w14:paraId="653B1F5D">
      <w:pPr>
        <w:widowControl/>
        <w:shd w:val="clear" w:color="auto" w:fill="FFFFFF"/>
        <w:adjustRightInd w:val="0"/>
        <w:snapToGrid w:val="0"/>
        <w:spacing w:line="440" w:lineRule="exact"/>
        <w:ind w:firstLine="420" w:firstLineChars="200"/>
        <w:jc w:val="left"/>
        <w:rPr>
          <w:rFonts w:hint="default" w:ascii="宋体" w:hAnsi="宋体" w:eastAsia="宋体" w:cs="宋体"/>
          <w:kern w:val="0"/>
          <w:szCs w:val="21"/>
          <w:highlight w:val="none"/>
          <w:lang w:val="en-US" w:eastAsia="zh-CN"/>
        </w:rPr>
      </w:pPr>
      <w:r>
        <w:rPr>
          <w:rFonts w:hint="eastAsia" w:ascii="宋体" w:hAnsi="宋体" w:cs="宋体"/>
          <w:kern w:val="0"/>
          <w:szCs w:val="21"/>
          <w:highlight w:val="none"/>
        </w:rPr>
        <w:t>1、项目编号：</w:t>
      </w:r>
      <w:r>
        <w:rPr>
          <w:rFonts w:hint="eastAsia" w:ascii="宋体" w:hAnsi="宋体" w:cs="宋体"/>
          <w:kern w:val="0"/>
          <w:szCs w:val="21"/>
          <w:highlight w:val="none"/>
          <w:lang w:eastAsia="zh-CN"/>
        </w:rPr>
        <w:t>DBSCG-2024-</w:t>
      </w:r>
      <w:r>
        <w:rPr>
          <w:rFonts w:hint="eastAsia" w:ascii="宋体" w:hAnsi="宋体" w:cs="宋体"/>
          <w:kern w:val="0"/>
          <w:szCs w:val="21"/>
          <w:highlight w:val="none"/>
          <w:lang w:val="en-US" w:eastAsia="zh-CN"/>
        </w:rPr>
        <w:t>092</w:t>
      </w:r>
    </w:p>
    <w:p w14:paraId="1B955B92">
      <w:pPr>
        <w:widowControl/>
        <w:shd w:val="clear" w:color="auto" w:fill="FFFFFF"/>
        <w:adjustRightInd w:val="0"/>
        <w:snapToGrid w:val="0"/>
        <w:spacing w:line="440" w:lineRule="exact"/>
        <w:ind w:firstLine="420" w:firstLineChars="200"/>
        <w:jc w:val="left"/>
        <w:rPr>
          <w:rFonts w:hint="eastAsia" w:ascii="宋体" w:hAnsi="宋体" w:eastAsia="宋体" w:cs="宋体"/>
          <w:kern w:val="0"/>
          <w:szCs w:val="21"/>
          <w:highlight w:val="none"/>
          <w:lang w:eastAsia="zh-CN"/>
        </w:rPr>
      </w:pPr>
      <w:r>
        <w:rPr>
          <w:rFonts w:hint="eastAsia" w:ascii="宋体" w:hAnsi="宋体" w:cs="宋体"/>
          <w:kern w:val="0"/>
          <w:szCs w:val="21"/>
          <w:highlight w:val="none"/>
        </w:rPr>
        <w:t>2、项目名称：</w:t>
      </w:r>
      <w:r>
        <w:rPr>
          <w:rFonts w:hint="eastAsia" w:ascii="宋体" w:hAnsi="宋体" w:cs="宋体"/>
          <w:kern w:val="0"/>
          <w:szCs w:val="21"/>
          <w:highlight w:val="none"/>
          <w:lang w:eastAsia="zh-CN"/>
        </w:rPr>
        <w:t>霍山县绿色小水电建设工程（霍山县绿色水资源综合利用工程）绿色小水电示范电站创建申报和安全标准化达标技术咨询服务采购项目</w:t>
      </w:r>
    </w:p>
    <w:p w14:paraId="24447602">
      <w:pPr>
        <w:widowControl/>
        <w:shd w:val="clear" w:color="auto" w:fill="FFFFFF"/>
        <w:adjustRightInd w:val="0"/>
        <w:snapToGrid w:val="0"/>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3、采购单位：</w:t>
      </w:r>
      <w:r>
        <w:rPr>
          <w:rFonts w:hint="eastAsia" w:ascii="宋体" w:hAnsi="宋体" w:cs="宋体"/>
          <w:color w:val="000000"/>
          <w:kern w:val="0"/>
          <w:szCs w:val="21"/>
          <w:highlight w:val="none"/>
          <w:shd w:val="clear" w:color="auto" w:fill="FFFFFF"/>
          <w:lang w:bidi="ar"/>
        </w:rPr>
        <w:t>霍山县水利工程项目建设中心、安徽淠河水能资源开发有限公司</w:t>
      </w:r>
    </w:p>
    <w:p w14:paraId="63C4015A">
      <w:pPr>
        <w:widowControl/>
        <w:shd w:val="clear" w:color="auto" w:fill="FFFFFF"/>
        <w:adjustRightInd w:val="0"/>
        <w:snapToGrid w:val="0"/>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4、资金来源：</w:t>
      </w:r>
      <w:r>
        <w:rPr>
          <w:rFonts w:hint="eastAsia" w:ascii="宋体" w:hAnsi="宋体" w:cs="宋体"/>
          <w:kern w:val="0"/>
          <w:szCs w:val="21"/>
          <w:highlight w:val="none"/>
          <w:lang w:val="en-US" w:eastAsia="zh-CN"/>
        </w:rPr>
        <w:t>企业</w:t>
      </w:r>
      <w:r>
        <w:rPr>
          <w:rFonts w:hint="eastAsia" w:ascii="宋体" w:hAnsi="宋体" w:cs="宋体"/>
          <w:kern w:val="0"/>
          <w:szCs w:val="21"/>
          <w:highlight w:val="none"/>
        </w:rPr>
        <w:t>自筹资金</w:t>
      </w:r>
    </w:p>
    <w:p w14:paraId="61818A42">
      <w:pPr>
        <w:spacing w:line="440" w:lineRule="exact"/>
        <w:ind w:firstLine="420" w:firstLineChars="200"/>
        <w:rPr>
          <w:rFonts w:ascii="宋体" w:hAnsi="宋体" w:cs="宋体"/>
          <w:kern w:val="0"/>
          <w:szCs w:val="21"/>
          <w:highlight w:val="none"/>
        </w:rPr>
      </w:pPr>
      <w:r>
        <w:rPr>
          <w:rFonts w:hint="eastAsia" w:ascii="宋体" w:hAnsi="宋体" w:cs="宋体"/>
          <w:kern w:val="0"/>
          <w:szCs w:val="21"/>
          <w:highlight w:val="none"/>
        </w:rPr>
        <w:t>5、项目预算：</w:t>
      </w:r>
      <w:r>
        <w:rPr>
          <w:rFonts w:hint="eastAsia" w:ascii="宋体" w:hAnsi="宋体" w:cs="宋体"/>
          <w:color w:val="000000"/>
          <w:highlight w:val="none"/>
          <w:lang w:val="en-US" w:eastAsia="zh-CN"/>
        </w:rPr>
        <w:t>600000.00</w:t>
      </w:r>
      <w:r>
        <w:rPr>
          <w:rFonts w:hint="eastAsia" w:ascii="宋体" w:hAnsi="宋体" w:cs="宋体"/>
          <w:color w:val="000000"/>
          <w:highlight w:val="none"/>
        </w:rPr>
        <w:t>元</w:t>
      </w:r>
    </w:p>
    <w:p w14:paraId="5075CCF7">
      <w:pPr>
        <w:spacing w:line="440" w:lineRule="exact"/>
        <w:ind w:firstLine="420" w:firstLineChars="200"/>
        <w:rPr>
          <w:rFonts w:ascii="宋体" w:hAnsi="宋体" w:cs="宋体"/>
          <w:szCs w:val="21"/>
          <w:highlight w:val="none"/>
        </w:rPr>
      </w:pPr>
      <w:r>
        <w:rPr>
          <w:rFonts w:hint="eastAsia" w:ascii="宋体" w:hAnsi="宋体" w:cs="宋体"/>
          <w:szCs w:val="21"/>
          <w:highlight w:val="none"/>
          <w:lang w:val="zh-CN"/>
        </w:rPr>
        <w:t>6、最高限价：</w:t>
      </w:r>
      <w:r>
        <w:rPr>
          <w:rFonts w:hint="eastAsia" w:ascii="宋体" w:hAnsi="宋体" w:cs="宋体"/>
          <w:szCs w:val="21"/>
          <w:highlight w:val="none"/>
          <w:lang w:val="en-US" w:eastAsia="zh-CN"/>
        </w:rPr>
        <w:t>陆拾万元整</w:t>
      </w:r>
      <w:r>
        <w:rPr>
          <w:rFonts w:hint="eastAsia" w:ascii="宋体" w:hAnsi="宋体" w:cs="宋体"/>
          <w:szCs w:val="21"/>
          <w:highlight w:val="none"/>
        </w:rPr>
        <w:t>（小写：￥</w:t>
      </w:r>
      <w:r>
        <w:rPr>
          <w:rFonts w:hint="eastAsia" w:ascii="宋体" w:hAnsi="宋体" w:cs="宋体"/>
          <w:color w:val="000000"/>
          <w:highlight w:val="none"/>
          <w:lang w:val="en-US" w:eastAsia="zh-CN"/>
        </w:rPr>
        <w:t>600000.00</w:t>
      </w:r>
      <w:r>
        <w:rPr>
          <w:rFonts w:hint="eastAsia" w:ascii="宋体" w:hAnsi="宋体" w:cs="宋体"/>
          <w:szCs w:val="21"/>
          <w:highlight w:val="none"/>
        </w:rPr>
        <w:t>元）</w:t>
      </w:r>
    </w:p>
    <w:p w14:paraId="53418D62">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7、标段（包别）划分：共</w:t>
      </w:r>
      <w:r>
        <w:rPr>
          <w:rFonts w:hint="eastAsia" w:ascii="宋体" w:hAnsi="宋体" w:cs="宋体"/>
          <w:szCs w:val="21"/>
          <w:highlight w:val="none"/>
        </w:rPr>
        <w:t>1</w:t>
      </w:r>
      <w:r>
        <w:rPr>
          <w:rFonts w:hint="eastAsia" w:ascii="宋体" w:hAnsi="宋体" w:cs="宋体"/>
          <w:szCs w:val="21"/>
          <w:highlight w:val="none"/>
          <w:lang w:val="zh-CN"/>
        </w:rPr>
        <w:t>个包</w:t>
      </w:r>
    </w:p>
    <w:p w14:paraId="78501787">
      <w:pPr>
        <w:widowControl/>
        <w:shd w:val="clear" w:color="auto" w:fill="FFFFFF"/>
        <w:adjustRightInd w:val="0"/>
        <w:snapToGrid w:val="0"/>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lang w:val="zh-CN"/>
        </w:rPr>
        <w:t>8、</w:t>
      </w:r>
      <w:r>
        <w:rPr>
          <w:rFonts w:hint="eastAsia" w:ascii="宋体" w:hAnsi="宋体" w:cs="宋体"/>
          <w:kern w:val="0"/>
          <w:szCs w:val="21"/>
          <w:highlight w:val="none"/>
        </w:rPr>
        <w:t>服务期</w:t>
      </w:r>
      <w:r>
        <w:rPr>
          <w:rFonts w:hint="eastAsia" w:ascii="宋体" w:hAnsi="宋体" w:cs="宋体"/>
          <w:kern w:val="0"/>
          <w:szCs w:val="21"/>
          <w:highlight w:val="none"/>
          <w:lang w:val="zh-CN"/>
        </w:rPr>
        <w:t>：</w:t>
      </w:r>
      <w:r>
        <w:rPr>
          <w:rFonts w:hint="eastAsia" w:ascii="宋体" w:hAnsi="宋体" w:cs="宋体"/>
          <w:bCs/>
          <w:szCs w:val="21"/>
          <w:highlight w:val="none"/>
        </w:rPr>
        <w:t>服务期限为自合同签订之日起至电站通过绿色小水电示范电站部级审核之日止。</w:t>
      </w:r>
    </w:p>
    <w:p w14:paraId="71AC582B">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9、项目类型：服务类</w:t>
      </w:r>
    </w:p>
    <w:p w14:paraId="0B79BFC0">
      <w:pPr>
        <w:widowControl/>
        <w:shd w:val="clear" w:color="auto" w:fill="FFFFFF"/>
        <w:adjustRightInd w:val="0"/>
        <w:snapToGrid w:val="0"/>
        <w:spacing w:line="440" w:lineRule="exact"/>
        <w:ind w:firstLine="420" w:firstLineChars="200"/>
        <w:jc w:val="left"/>
        <w:rPr>
          <w:rFonts w:ascii="宋体" w:hAnsi="宋体" w:cs="宋体"/>
          <w:szCs w:val="21"/>
          <w:highlight w:val="none"/>
          <w:u w:val="none"/>
        </w:rPr>
      </w:pPr>
      <w:r>
        <w:rPr>
          <w:rFonts w:hint="eastAsia" w:ascii="宋体" w:hAnsi="宋体" w:cs="宋体"/>
          <w:szCs w:val="21"/>
          <w:highlight w:val="none"/>
        </w:rPr>
        <w:t>10、项目概况：霍山县绿色小水电建设工程（霍山县绿色水资源综合利用工程）包含9座电站，均需完成安全标准化达标并申报水利部绿色小水电示范站。为保证申报工作顺利完成，拟委托一家专业机构协助完成本项目相关工作。（详见采购需求）</w:t>
      </w:r>
    </w:p>
    <w:p w14:paraId="22400A66">
      <w:pPr>
        <w:widowControl/>
        <w:shd w:val="clear" w:color="auto" w:fill="FFFFFF"/>
        <w:adjustRightInd w:val="0"/>
        <w:snapToGrid w:val="0"/>
        <w:spacing w:line="440" w:lineRule="exact"/>
        <w:rPr>
          <w:rFonts w:hint="eastAsia" w:ascii="宋体" w:hAnsi="宋体" w:cs="宋体"/>
          <w:b/>
          <w:bCs/>
          <w:kern w:val="0"/>
          <w:szCs w:val="21"/>
          <w:highlight w:val="none"/>
          <w:lang w:val="zh-CN"/>
        </w:rPr>
      </w:pPr>
      <w:r>
        <w:rPr>
          <w:rFonts w:hint="eastAsia" w:ascii="宋体" w:hAnsi="宋体" w:cs="宋体"/>
          <w:b/>
          <w:bCs/>
          <w:kern w:val="0"/>
          <w:szCs w:val="21"/>
          <w:highlight w:val="none"/>
          <w:lang w:val="zh-CN"/>
        </w:rPr>
        <w:t>二、供应商资格：</w:t>
      </w:r>
    </w:p>
    <w:p w14:paraId="38C1AD34">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1、供应商须具有有效的营业执照或事业单位法人证书；</w:t>
      </w:r>
    </w:p>
    <w:p w14:paraId="61F74285">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rPr>
        <w:t>2</w:t>
      </w:r>
      <w:r>
        <w:rPr>
          <w:rFonts w:hint="eastAsia" w:ascii="宋体" w:hAnsi="宋体" w:cs="宋体"/>
          <w:szCs w:val="21"/>
          <w:highlight w:val="none"/>
          <w:lang w:val="zh-CN"/>
        </w:rPr>
        <w:t>、供应商存在以下不良信用记录情形之一的，不得推荐为成交候选供应商，不得确定为成交供应商（仅以下述渠道查询结果为准，其他网站无效）：</w:t>
      </w:r>
    </w:p>
    <w:p w14:paraId="4F2A1E9B">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(1）供应商被人民法院列入失信被执行人的，</w:t>
      </w:r>
    </w:p>
    <w:p w14:paraId="6AE0C461">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信用中国官网（www.creditchina.gov.cn）；</w:t>
      </w:r>
    </w:p>
    <w:p w14:paraId="0F36E499">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(2）供应商被工商行政管理部门列入企业经营异常名录的，</w:t>
      </w:r>
    </w:p>
    <w:p w14:paraId="698A2C10">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国家企业信用信息公示系统网站（www.gsxt.gov.cn）；</w:t>
      </w:r>
    </w:p>
    <w:p w14:paraId="412586A2">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(3）供应商被税务部门列入重大税收违法案件当事人名单的，</w:t>
      </w:r>
    </w:p>
    <w:p w14:paraId="612981B3">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信用中国官网（www.creditchina.gov.cn）；</w:t>
      </w:r>
    </w:p>
    <w:p w14:paraId="421C4CB8">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(4）供应商被政府采购监管部门列入政府采购严重违法失信行为记录名单的，</w:t>
      </w:r>
    </w:p>
    <w:p w14:paraId="174C53B6">
      <w:pPr>
        <w:widowControl/>
        <w:shd w:val="clear" w:color="auto" w:fill="FFFFFF"/>
        <w:adjustRightInd w:val="0"/>
        <w:snapToGrid w:val="0"/>
        <w:spacing w:line="440" w:lineRule="exact"/>
        <w:ind w:firstLine="420" w:firstLineChars="200"/>
        <w:jc w:val="left"/>
        <w:rPr>
          <w:rFonts w:hint="eastAsia" w:ascii="宋体" w:hAnsi="宋体" w:cs="宋体"/>
          <w:szCs w:val="21"/>
          <w:highlight w:val="none"/>
          <w:lang w:val="zh-CN"/>
        </w:rPr>
      </w:pPr>
      <w:r>
        <w:rPr>
          <w:rFonts w:hint="eastAsia" w:ascii="宋体" w:hAnsi="宋体" w:cs="宋体"/>
          <w:szCs w:val="21"/>
          <w:highlight w:val="none"/>
          <w:lang w:val="zh-CN"/>
        </w:rPr>
        <w:t>中国政府采购官网（www.ccgp.gov.cn）。</w:t>
      </w:r>
    </w:p>
    <w:p w14:paraId="5E475257">
      <w:pPr>
        <w:widowControl/>
        <w:shd w:val="clear" w:color="auto" w:fill="FFFFFF"/>
        <w:adjustRightInd w:val="0"/>
        <w:snapToGrid w:val="0"/>
        <w:spacing w:line="440" w:lineRule="exact"/>
        <w:jc w:val="left"/>
        <w:rPr>
          <w:rFonts w:hint="eastAsia" w:ascii="宋体" w:hAnsi="宋体" w:cs="宋体"/>
          <w:b/>
          <w:bCs/>
          <w:szCs w:val="21"/>
          <w:highlight w:val="none"/>
        </w:rPr>
      </w:pPr>
      <w:r>
        <w:rPr>
          <w:rFonts w:hint="eastAsia" w:ascii="宋体" w:hAnsi="宋体" w:cs="宋体"/>
          <w:b/>
          <w:bCs/>
          <w:szCs w:val="21"/>
          <w:highlight w:val="none"/>
        </w:rPr>
        <w:t>三、招标文件获取时间</w:t>
      </w:r>
    </w:p>
    <w:p w14:paraId="6F24C291">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本项目勿需报名，投标供应商于</w:t>
      </w:r>
      <w:r>
        <w:rPr>
          <w:rFonts w:hint="eastAsia" w:ascii="宋体" w:hAnsi="宋体" w:cs="宋体"/>
          <w:szCs w:val="21"/>
          <w:highlight w:val="none"/>
          <w:lang w:eastAsia="zh-CN"/>
        </w:rPr>
        <w:t>2024年7月23日</w:t>
      </w:r>
      <w:r>
        <w:rPr>
          <w:rFonts w:hint="eastAsia" w:ascii="宋体" w:hAnsi="宋体" w:cs="宋体"/>
          <w:szCs w:val="21"/>
          <w:highlight w:val="none"/>
        </w:rPr>
        <w:t>起（北京时间，下同）起自行登录安徽霍山国有资产投资控股集团有限公司（http://ahdmig.cn/）“招标采购”栏目中下载招标文件等相关资料。请投标供应商关注安徽霍山国有资产投资控股集团有限公司（http://ahdmig.cn/）“招标采购”“补充公告”中关于本项目的补遗、答疑等内容。</w:t>
      </w:r>
    </w:p>
    <w:p w14:paraId="7FDE3CD4">
      <w:pPr>
        <w:widowControl/>
        <w:shd w:val="clear" w:color="auto" w:fill="FFFFFF"/>
        <w:adjustRightInd w:val="0"/>
        <w:snapToGrid w:val="0"/>
        <w:spacing w:line="440" w:lineRule="exact"/>
        <w:jc w:val="left"/>
        <w:rPr>
          <w:rFonts w:hint="eastAsia" w:ascii="宋体" w:hAnsi="宋体" w:cs="宋体"/>
          <w:b/>
          <w:bCs/>
          <w:szCs w:val="21"/>
          <w:highlight w:val="none"/>
        </w:rPr>
      </w:pPr>
      <w:r>
        <w:rPr>
          <w:rFonts w:hint="eastAsia" w:ascii="宋体" w:hAnsi="宋体" w:cs="宋体"/>
          <w:b/>
          <w:bCs/>
          <w:szCs w:val="21"/>
          <w:highlight w:val="none"/>
        </w:rPr>
        <w:t>四、开标日期和地点</w:t>
      </w:r>
    </w:p>
    <w:p w14:paraId="7C2F4137">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（一）开标日期：</w:t>
      </w:r>
      <w:r>
        <w:rPr>
          <w:rFonts w:hint="eastAsia" w:ascii="宋体" w:hAnsi="宋体" w:cs="宋体"/>
          <w:szCs w:val="21"/>
          <w:highlight w:val="none"/>
          <w:lang w:eastAsia="zh-CN"/>
        </w:rPr>
        <w:t>2024年7月2</w:t>
      </w:r>
      <w:r>
        <w:rPr>
          <w:rFonts w:hint="eastAsia" w:ascii="宋体" w:hAnsi="宋体" w:cs="宋体"/>
          <w:szCs w:val="21"/>
          <w:highlight w:val="none"/>
          <w:lang w:val="en-US" w:eastAsia="zh-CN"/>
        </w:rPr>
        <w:t>6</w:t>
      </w:r>
      <w:r>
        <w:rPr>
          <w:rFonts w:hint="eastAsia" w:ascii="宋体" w:hAnsi="宋体" w:cs="宋体"/>
          <w:szCs w:val="21"/>
          <w:highlight w:val="none"/>
          <w:lang w:eastAsia="zh-CN"/>
        </w:rPr>
        <w:t>日</w:t>
      </w:r>
      <w:r>
        <w:rPr>
          <w:rFonts w:hint="eastAsia" w:ascii="宋体" w:hAnsi="宋体" w:cs="宋体"/>
          <w:szCs w:val="21"/>
          <w:highlight w:val="none"/>
          <w:lang w:val="en-US" w:eastAsia="zh-CN"/>
        </w:rPr>
        <w:t>0</w:t>
      </w:r>
      <w:r>
        <w:rPr>
          <w:rFonts w:hint="eastAsia" w:ascii="宋体" w:hAnsi="宋体" w:cs="宋体"/>
          <w:szCs w:val="21"/>
          <w:highlight w:val="none"/>
        </w:rPr>
        <w:t>9时00分</w:t>
      </w:r>
    </w:p>
    <w:p w14:paraId="023C8A6F">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（二）开标地点：</w:t>
      </w:r>
      <w:r>
        <w:rPr>
          <w:rFonts w:hint="eastAsia" w:ascii="宋体" w:hAnsi="宋体" w:cs="宋体"/>
          <w:kern w:val="0"/>
          <w:szCs w:val="21"/>
          <w:highlight w:val="none"/>
          <w:shd w:val="clear" w:color="auto" w:fill="FFFFFF"/>
          <w:lang w:bidi="ar"/>
        </w:rPr>
        <w:t>安徽大别山工程咨询有限公司开标厅201室（霍山县国投大厦）</w:t>
      </w:r>
    </w:p>
    <w:p w14:paraId="4B1AE18F">
      <w:pPr>
        <w:widowControl/>
        <w:shd w:val="clear" w:color="auto" w:fill="FFFFFF"/>
        <w:adjustRightInd w:val="0"/>
        <w:snapToGrid w:val="0"/>
        <w:spacing w:line="440" w:lineRule="exact"/>
        <w:jc w:val="left"/>
        <w:rPr>
          <w:rFonts w:hint="eastAsia" w:ascii="宋体" w:hAnsi="宋体" w:cs="宋体"/>
          <w:b/>
          <w:bCs/>
          <w:szCs w:val="21"/>
          <w:highlight w:val="none"/>
        </w:rPr>
      </w:pPr>
      <w:r>
        <w:rPr>
          <w:rFonts w:hint="eastAsia" w:ascii="宋体" w:hAnsi="宋体" w:cs="宋体"/>
          <w:b/>
          <w:bCs/>
          <w:szCs w:val="21"/>
          <w:highlight w:val="none"/>
        </w:rPr>
        <w:t>五、联系方式</w:t>
      </w:r>
    </w:p>
    <w:p w14:paraId="0CD14819">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(一)项目单位：</w:t>
      </w:r>
      <w:r>
        <w:rPr>
          <w:rFonts w:hint="eastAsia" w:ascii="宋体" w:hAnsi="宋体" w:cs="宋体"/>
          <w:color w:val="000000"/>
          <w:kern w:val="0"/>
          <w:szCs w:val="21"/>
          <w:highlight w:val="none"/>
          <w:shd w:val="clear" w:color="auto" w:fill="FFFFFF"/>
          <w:lang w:bidi="ar"/>
        </w:rPr>
        <w:t>霍山县水利工程项目建设中心、安徽淠河水能资源开发有限公司</w:t>
      </w:r>
    </w:p>
    <w:p w14:paraId="61230775">
      <w:pPr>
        <w:widowControl/>
        <w:shd w:val="clear" w:color="auto" w:fill="FFFFFF"/>
        <w:adjustRightInd w:val="0"/>
        <w:snapToGrid w:val="0"/>
        <w:spacing w:line="440" w:lineRule="exact"/>
        <w:ind w:firstLine="420" w:firstLineChars="200"/>
        <w:jc w:val="left"/>
        <w:rPr>
          <w:rFonts w:ascii="宋体" w:hAnsi="宋体" w:cs="宋体"/>
          <w:szCs w:val="21"/>
          <w:highlight w:val="none"/>
        </w:rPr>
      </w:pPr>
      <w:r>
        <w:rPr>
          <w:rFonts w:hint="eastAsia" w:ascii="宋体" w:hAnsi="宋体" w:cs="宋体"/>
          <w:szCs w:val="21"/>
          <w:highlight w:val="none"/>
        </w:rPr>
        <w:t>地  址：霍山县南岳东路40号水务局3楼、霍山县衡山镇南岳东路40号</w:t>
      </w:r>
    </w:p>
    <w:p w14:paraId="158EA86B">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联系人：</w:t>
      </w:r>
      <w:r>
        <w:rPr>
          <w:rFonts w:hint="eastAsia" w:cs="宋体"/>
          <w:szCs w:val="21"/>
          <w:highlight w:val="none"/>
          <w:shd w:val="clear" w:color="auto" w:fill="FFFFFF"/>
        </w:rPr>
        <w:t>徐先生</w:t>
      </w:r>
    </w:p>
    <w:p w14:paraId="18B13C60">
      <w:pPr>
        <w:widowControl/>
        <w:shd w:val="clear" w:color="auto" w:fill="FFFFFF"/>
        <w:adjustRightInd w:val="0"/>
        <w:snapToGrid w:val="0"/>
        <w:spacing w:line="440" w:lineRule="exact"/>
        <w:ind w:firstLine="420" w:firstLineChars="200"/>
        <w:jc w:val="left"/>
        <w:rPr>
          <w:rFonts w:ascii="宋体" w:hAnsi="宋体" w:cs="宋体"/>
          <w:szCs w:val="21"/>
          <w:highlight w:val="none"/>
        </w:rPr>
      </w:pPr>
      <w:r>
        <w:rPr>
          <w:rFonts w:hint="eastAsia" w:ascii="宋体" w:hAnsi="宋体" w:cs="宋体"/>
          <w:szCs w:val="21"/>
          <w:highlight w:val="none"/>
        </w:rPr>
        <w:t>联系电话：</w:t>
      </w:r>
      <w:r>
        <w:rPr>
          <w:rFonts w:hint="eastAsia" w:ascii="宋体" w:hAnsi="宋体" w:eastAsia="宋体" w:cs="宋体"/>
          <w:szCs w:val="21"/>
          <w:highlight w:val="none"/>
          <w:shd w:val="clear" w:color="auto" w:fill="FFFFFF"/>
        </w:rPr>
        <w:t>0564-5031165</w:t>
      </w:r>
    </w:p>
    <w:p w14:paraId="2F378A8F">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(二)代理机构：安徽大别山工程咨询有限公司</w:t>
      </w:r>
    </w:p>
    <w:p w14:paraId="1A63E172">
      <w:pPr>
        <w:widowControl/>
        <w:shd w:val="clear" w:color="auto" w:fill="FFFFFF"/>
        <w:adjustRightInd w:val="0"/>
        <w:snapToGrid w:val="0"/>
        <w:spacing w:line="440" w:lineRule="exact"/>
        <w:ind w:firstLine="420" w:firstLineChars="200"/>
        <w:jc w:val="left"/>
        <w:rPr>
          <w:rFonts w:ascii="宋体" w:hAnsi="宋体" w:cs="宋体"/>
          <w:szCs w:val="21"/>
          <w:highlight w:val="none"/>
        </w:rPr>
      </w:pPr>
      <w:r>
        <w:rPr>
          <w:rFonts w:hint="eastAsia" w:ascii="宋体" w:hAnsi="宋体" w:cs="宋体"/>
          <w:szCs w:val="21"/>
          <w:highlight w:val="none"/>
        </w:rPr>
        <w:t>地址：</w:t>
      </w:r>
      <w:r>
        <w:rPr>
          <w:rFonts w:hint="eastAsia" w:ascii="宋体" w:hAnsi="宋体" w:cs="宋体"/>
          <w:kern w:val="0"/>
          <w:szCs w:val="21"/>
          <w:highlight w:val="none"/>
          <w:shd w:val="clear" w:color="auto" w:fill="FFFFFF"/>
          <w:lang w:bidi="ar"/>
        </w:rPr>
        <w:t>霍山县国投大厦2楼204室</w:t>
      </w:r>
    </w:p>
    <w:p w14:paraId="24F310FA">
      <w:pPr>
        <w:widowControl/>
        <w:shd w:val="clear" w:color="auto" w:fill="FFFFFF"/>
        <w:adjustRightInd w:val="0"/>
        <w:snapToGrid w:val="0"/>
        <w:spacing w:line="440" w:lineRule="exact"/>
        <w:ind w:firstLine="420" w:firstLineChars="200"/>
        <w:jc w:val="left"/>
        <w:rPr>
          <w:rFonts w:ascii="宋体" w:hAnsi="宋体" w:cs="宋体"/>
          <w:szCs w:val="21"/>
          <w:highlight w:val="none"/>
        </w:rPr>
      </w:pPr>
      <w:r>
        <w:rPr>
          <w:rFonts w:hint="eastAsia" w:ascii="宋体" w:hAnsi="宋体" w:cs="宋体"/>
          <w:szCs w:val="21"/>
          <w:highlight w:val="none"/>
        </w:rPr>
        <w:t>联系人：徐 工</w:t>
      </w:r>
    </w:p>
    <w:p w14:paraId="167A1094">
      <w:pPr>
        <w:pStyle w:val="17"/>
        <w:shd w:val="clear" w:color="auto" w:fill="FFFFFF"/>
        <w:spacing w:before="42" w:beforeAutospacing="0" w:after="42" w:afterAutospacing="0" w:line="400" w:lineRule="exact"/>
        <w:ind w:firstLine="420" w:firstLineChars="200"/>
        <w:rPr>
          <w:rFonts w:cs="宋体"/>
          <w:sz w:val="21"/>
          <w:szCs w:val="21"/>
          <w:highlight w:val="none"/>
        </w:rPr>
      </w:pPr>
      <w:r>
        <w:rPr>
          <w:rFonts w:hint="eastAsia" w:cs="宋体"/>
          <w:sz w:val="21"/>
          <w:szCs w:val="21"/>
          <w:highlight w:val="none"/>
        </w:rPr>
        <w:t>联系方式：0564-5020033，17756405133</w:t>
      </w:r>
    </w:p>
    <w:p w14:paraId="3542FE5E">
      <w:pPr>
        <w:widowControl/>
        <w:shd w:val="clear" w:color="auto" w:fill="FFFFFF"/>
        <w:adjustRightInd w:val="0"/>
        <w:snapToGrid w:val="0"/>
        <w:spacing w:line="440" w:lineRule="exact"/>
        <w:jc w:val="left"/>
        <w:rPr>
          <w:rFonts w:hint="eastAsia" w:ascii="宋体" w:hAnsi="宋体" w:cs="宋体"/>
          <w:szCs w:val="21"/>
          <w:highlight w:val="none"/>
        </w:rPr>
      </w:pPr>
      <w:r>
        <w:rPr>
          <w:rFonts w:hint="eastAsia" w:ascii="宋体" w:hAnsi="宋体" w:cs="宋体"/>
          <w:b/>
          <w:bCs/>
          <w:szCs w:val="21"/>
          <w:highlight w:val="none"/>
        </w:rPr>
        <w:t>六、发布媒介</w:t>
      </w:r>
    </w:p>
    <w:p w14:paraId="0DC77BBF">
      <w:pPr>
        <w:widowControl/>
        <w:shd w:val="clear" w:color="auto" w:fill="FFFFFF"/>
        <w:adjustRightInd w:val="0"/>
        <w:snapToGrid w:val="0"/>
        <w:spacing w:line="440" w:lineRule="exact"/>
        <w:ind w:firstLine="420" w:firstLineChars="200"/>
        <w:jc w:val="left"/>
        <w:rPr>
          <w:rFonts w:hint="eastAsia" w:ascii="宋体" w:hAnsi="宋体" w:eastAsia="宋体" w:cs="宋体"/>
          <w:szCs w:val="21"/>
          <w:highlight w:val="none"/>
          <w:lang w:eastAsia="zh-CN"/>
        </w:rPr>
      </w:pPr>
      <w:r>
        <w:rPr>
          <w:rFonts w:hint="eastAsia" w:ascii="宋体" w:hAnsi="宋体" w:cs="宋体"/>
          <w:szCs w:val="21"/>
          <w:highlight w:val="none"/>
        </w:rPr>
        <w:t>安徽霍山国有资产投资控股集团有限公司（http://ahdmig.cn/）</w:t>
      </w:r>
      <w:r>
        <w:rPr>
          <w:rFonts w:hint="eastAsia" w:ascii="宋体" w:hAnsi="宋体" w:cs="宋体"/>
          <w:szCs w:val="21"/>
          <w:highlight w:val="none"/>
          <w:lang w:eastAsia="zh-CN"/>
        </w:rPr>
        <w:t>。</w:t>
      </w:r>
    </w:p>
    <w:p w14:paraId="2CCAC4B1">
      <w:pPr>
        <w:pStyle w:val="18"/>
        <w:rPr>
          <w:rFonts w:hint="eastAsia"/>
          <w:highlight w:val="none"/>
        </w:rPr>
      </w:pPr>
    </w:p>
    <w:p w14:paraId="08118D2E">
      <w:pPr>
        <w:widowControl/>
        <w:shd w:val="solid" w:color="FFFFFF" w:fill="auto"/>
        <w:adjustRightInd w:val="0"/>
        <w:snapToGrid w:val="0"/>
        <w:spacing w:line="500" w:lineRule="exact"/>
        <w:jc w:val="right"/>
        <w:rPr>
          <w:rFonts w:hint="eastAsia" w:cs="Arial"/>
          <w:szCs w:val="21"/>
          <w:highlight w:val="none"/>
        </w:rPr>
      </w:pPr>
      <w:r>
        <w:rPr>
          <w:rFonts w:hint="eastAsia" w:cs="Arial"/>
          <w:szCs w:val="21"/>
          <w:highlight w:val="none"/>
        </w:rPr>
        <w:t>霍山县水利工程项目建设中心</w:t>
      </w:r>
    </w:p>
    <w:p w14:paraId="76D80A88">
      <w:pPr>
        <w:widowControl/>
        <w:shd w:val="solid" w:color="FFFFFF" w:fill="auto"/>
        <w:adjustRightInd w:val="0"/>
        <w:snapToGrid w:val="0"/>
        <w:spacing w:line="500" w:lineRule="exact"/>
        <w:jc w:val="right"/>
        <w:rPr>
          <w:rFonts w:hint="eastAsia" w:cs="Arial"/>
          <w:szCs w:val="21"/>
          <w:highlight w:val="none"/>
        </w:rPr>
      </w:pPr>
      <w:r>
        <w:rPr>
          <w:rFonts w:hint="eastAsia" w:cs="Arial"/>
          <w:szCs w:val="21"/>
          <w:highlight w:val="none"/>
        </w:rPr>
        <w:t>安徽淠河水能资源开发有限公司</w:t>
      </w:r>
    </w:p>
    <w:p w14:paraId="2AD73724">
      <w:pPr>
        <w:widowControl/>
        <w:shd w:val="solid" w:color="FFFFFF" w:fill="auto"/>
        <w:adjustRightInd w:val="0"/>
        <w:snapToGrid w:val="0"/>
        <w:spacing w:line="500" w:lineRule="exact"/>
        <w:jc w:val="right"/>
        <w:rPr>
          <w:rFonts w:hint="eastAsia" w:cs="Arial"/>
          <w:szCs w:val="21"/>
          <w:highlight w:val="none"/>
        </w:rPr>
      </w:pPr>
      <w:r>
        <w:rPr>
          <w:rFonts w:hint="eastAsia" w:cs="Arial"/>
          <w:szCs w:val="21"/>
          <w:highlight w:val="none"/>
        </w:rPr>
        <w:t>安徽大别山工程咨询有限公司</w:t>
      </w:r>
    </w:p>
    <w:p w14:paraId="5AB1903C">
      <w:pPr>
        <w:widowControl/>
        <w:shd w:val="solid" w:color="FFFFFF" w:fill="auto"/>
        <w:adjustRightInd w:val="0"/>
        <w:snapToGrid w:val="0"/>
        <w:spacing w:line="500" w:lineRule="exact"/>
        <w:jc w:val="right"/>
        <w:rPr>
          <w:rFonts w:hint="eastAsia" w:ascii="宋体" w:hAnsi="宋体" w:eastAsia="宋体" w:cs="宋体"/>
          <w:kern w:val="0"/>
          <w:szCs w:val="21"/>
          <w:highlight w:val="none"/>
          <w:lang w:eastAsia="zh-CN"/>
        </w:rPr>
      </w:pPr>
      <w:r>
        <w:rPr>
          <w:rFonts w:hint="eastAsia" w:ascii="宋体" w:hAnsi="宋体" w:cs="宋体"/>
          <w:kern w:val="0"/>
          <w:szCs w:val="21"/>
          <w:highlight w:val="none"/>
          <w:lang w:eastAsia="zh-CN"/>
        </w:rPr>
        <w:t>2024年7月23日</w:t>
      </w:r>
    </w:p>
    <w:p w14:paraId="5C7F85BA">
      <w:pPr>
        <w:widowControl/>
        <w:shd w:val="clear" w:color="auto" w:fill="FFFFFF"/>
        <w:adjustRightInd w:val="0"/>
        <w:snapToGrid w:val="0"/>
        <w:spacing w:line="420" w:lineRule="exact"/>
        <w:jc w:val="center"/>
        <w:outlineLvl w:val="0"/>
        <w:rPr>
          <w:rFonts w:hint="eastAsia" w:ascii="宋体" w:hAnsi="宋体" w:cs="宋体"/>
          <w:b/>
          <w:bCs/>
          <w:caps/>
          <w:kern w:val="0"/>
          <w:sz w:val="30"/>
          <w:szCs w:val="30"/>
          <w:highlight w:val="none"/>
          <w:lang w:val="zh-CN"/>
        </w:rPr>
      </w:pPr>
      <w:r>
        <w:rPr>
          <w:rFonts w:hint="eastAsia" w:ascii="宋体" w:hAnsi="宋体" w:cs="宋体"/>
          <w:b/>
          <w:bCs/>
          <w:caps/>
          <w:kern w:val="0"/>
          <w:sz w:val="30"/>
          <w:szCs w:val="30"/>
          <w:highlight w:val="none"/>
          <w:lang w:val="zh-CN"/>
        </w:rPr>
        <w:br w:type="page"/>
      </w:r>
      <w:bookmarkStart w:id="2" w:name="_Toc2310"/>
      <w:bookmarkStart w:id="3" w:name="_Toc22405"/>
      <w:r>
        <w:rPr>
          <w:rFonts w:hint="eastAsia" w:ascii="宋体" w:hAnsi="宋体" w:cs="宋体"/>
          <w:b/>
          <w:bCs/>
          <w:caps/>
          <w:kern w:val="0"/>
          <w:sz w:val="30"/>
          <w:szCs w:val="30"/>
          <w:highlight w:val="none"/>
          <w:lang w:val="zh-CN"/>
        </w:rPr>
        <w:t>第二章 供应商须知</w:t>
      </w:r>
      <w:bookmarkEnd w:id="2"/>
      <w:bookmarkEnd w:id="3"/>
    </w:p>
    <w:p w14:paraId="3033785E">
      <w:pPr>
        <w:widowControl/>
        <w:shd w:val="clear" w:color="auto" w:fill="FFFFFF"/>
        <w:adjustRightInd w:val="0"/>
        <w:snapToGrid w:val="0"/>
        <w:spacing w:line="440" w:lineRule="exact"/>
        <w:jc w:val="center"/>
        <w:outlineLvl w:val="1"/>
        <w:rPr>
          <w:rFonts w:hint="eastAsia" w:ascii="宋体" w:hAnsi="宋体" w:cs="宋体"/>
          <w:b/>
          <w:bCs/>
          <w:kern w:val="0"/>
          <w:szCs w:val="21"/>
          <w:highlight w:val="none"/>
          <w:lang w:val="zh-CN"/>
        </w:rPr>
      </w:pPr>
      <w:r>
        <w:rPr>
          <w:rFonts w:hint="eastAsia" w:ascii="宋体" w:hAnsi="宋体" w:cs="宋体"/>
          <w:b/>
          <w:bCs/>
          <w:kern w:val="0"/>
          <w:szCs w:val="21"/>
          <w:highlight w:val="none"/>
        </w:rPr>
        <w:t>一、</w:t>
      </w:r>
      <w:r>
        <w:rPr>
          <w:rFonts w:hint="eastAsia" w:ascii="宋体" w:hAnsi="宋体" w:cs="宋体"/>
          <w:b/>
          <w:bCs/>
          <w:kern w:val="0"/>
          <w:szCs w:val="21"/>
          <w:highlight w:val="none"/>
          <w:lang w:val="zh-CN"/>
        </w:rPr>
        <w:t>供应商须知前附表</w:t>
      </w:r>
    </w:p>
    <w:tbl>
      <w:tblPr>
        <w:tblStyle w:val="20"/>
        <w:tblW w:w="10047"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7"/>
        <w:gridCol w:w="2190"/>
        <w:gridCol w:w="7090"/>
      </w:tblGrid>
      <w:tr w14:paraId="6246C5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27BE920">
            <w:pPr>
              <w:adjustRightInd w:val="0"/>
              <w:snapToGrid w:val="0"/>
              <w:spacing w:line="360" w:lineRule="exact"/>
              <w:rPr>
                <w:rFonts w:hint="eastAsia" w:ascii="宋体" w:hAnsi="宋体" w:cs="宋体"/>
                <w:b/>
                <w:szCs w:val="21"/>
                <w:highlight w:val="none"/>
              </w:rPr>
            </w:pPr>
            <w:r>
              <w:rPr>
                <w:rFonts w:hint="eastAsia" w:ascii="宋体" w:hAnsi="宋体" w:cs="宋体"/>
                <w:b/>
                <w:szCs w:val="21"/>
                <w:highlight w:val="none"/>
              </w:rPr>
              <w:t>序号</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7D4CEB7">
            <w:pPr>
              <w:adjustRightInd w:val="0"/>
              <w:snapToGrid w:val="0"/>
              <w:spacing w:line="360" w:lineRule="exact"/>
              <w:jc w:val="center"/>
              <w:rPr>
                <w:rFonts w:hint="eastAsia" w:ascii="宋体" w:hAnsi="宋体" w:cs="宋体"/>
                <w:b/>
                <w:szCs w:val="21"/>
                <w:highlight w:val="none"/>
              </w:rPr>
            </w:pPr>
            <w:r>
              <w:rPr>
                <w:rFonts w:hint="eastAsia" w:ascii="宋体" w:hAnsi="宋体" w:cs="宋体"/>
                <w:b/>
                <w:szCs w:val="21"/>
                <w:highlight w:val="none"/>
              </w:rPr>
              <w:t>内  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DA216DD">
            <w:pPr>
              <w:tabs>
                <w:tab w:val="left" w:pos="1180"/>
              </w:tabs>
              <w:adjustRightInd w:val="0"/>
              <w:snapToGrid w:val="0"/>
              <w:spacing w:line="360" w:lineRule="exact"/>
              <w:jc w:val="center"/>
              <w:rPr>
                <w:rFonts w:hint="eastAsia" w:ascii="宋体" w:hAnsi="宋体" w:cs="宋体"/>
                <w:b/>
                <w:szCs w:val="21"/>
                <w:highlight w:val="none"/>
              </w:rPr>
            </w:pPr>
            <w:r>
              <w:rPr>
                <w:rFonts w:hint="eastAsia" w:ascii="宋体" w:hAnsi="宋体" w:cs="宋体"/>
                <w:b/>
                <w:szCs w:val="21"/>
                <w:highlight w:val="none"/>
              </w:rPr>
              <w:t>说明与要求</w:t>
            </w:r>
          </w:p>
        </w:tc>
      </w:tr>
      <w:tr w14:paraId="7C239C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20CC86A">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6FD533B">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项目名称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D7D5AF8">
            <w:pPr>
              <w:adjustRightInd w:val="0"/>
              <w:snapToGrid w:val="0"/>
              <w:spacing w:line="310" w:lineRule="exact"/>
              <w:rPr>
                <w:rFonts w:hint="eastAsia" w:ascii="宋体" w:hAnsi="宋体" w:eastAsia="宋体" w:cs="宋体"/>
                <w:szCs w:val="21"/>
                <w:highlight w:val="none"/>
                <w:lang w:eastAsia="zh-CN"/>
              </w:rPr>
            </w:pPr>
            <w:r>
              <w:rPr>
                <w:rFonts w:hint="eastAsia" w:ascii="宋体" w:hAnsi="宋体" w:cs="宋体"/>
                <w:kern w:val="0"/>
                <w:szCs w:val="21"/>
                <w:highlight w:val="none"/>
                <w:lang w:eastAsia="zh-CN"/>
              </w:rPr>
              <w:t>霍山县绿色小水电建设工程（霍山县绿色水资源综合利用工程）绿色小水电示范电站创建申报和安全标准化达标技术咨询服务采购项目</w:t>
            </w:r>
          </w:p>
        </w:tc>
      </w:tr>
      <w:tr w14:paraId="0CF668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7A20AB2">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B5BE85E">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项目性质</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51424F8">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服务类</w:t>
            </w:r>
          </w:p>
        </w:tc>
      </w:tr>
      <w:tr w14:paraId="43E400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B898D02">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B54A315">
            <w:pPr>
              <w:adjustRightInd w:val="0"/>
              <w:snapToGrid w:val="0"/>
              <w:spacing w:line="310" w:lineRule="exact"/>
              <w:rPr>
                <w:rFonts w:hint="eastAsia" w:cs="Arial"/>
                <w:szCs w:val="21"/>
                <w:highlight w:val="none"/>
              </w:rPr>
            </w:pPr>
            <w:r>
              <w:rPr>
                <w:rFonts w:hint="eastAsia" w:cs="Arial"/>
                <w:szCs w:val="21"/>
                <w:highlight w:val="none"/>
              </w:rPr>
              <w:t>采购单位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B49D83F">
            <w:pPr>
              <w:pStyle w:val="17"/>
              <w:shd w:val="clear" w:color="auto" w:fill="FFFFFF"/>
              <w:spacing w:before="0" w:beforeAutospacing="0" w:after="0" w:afterAutospacing="0" w:line="315" w:lineRule="atLeast"/>
              <w:rPr>
                <w:rFonts w:hint="eastAsia" w:cs="宋体"/>
                <w:color w:val="000000"/>
                <w:kern w:val="2"/>
                <w:sz w:val="21"/>
                <w:szCs w:val="21"/>
                <w:highlight w:val="none"/>
                <w:shd w:val="clear" w:color="auto" w:fill="FFFFFF"/>
                <w:lang w:bidi="ar"/>
              </w:rPr>
            </w:pPr>
            <w:r>
              <w:rPr>
                <w:rFonts w:hint="eastAsia" w:cs="宋体"/>
                <w:color w:val="000000"/>
                <w:sz w:val="21"/>
                <w:szCs w:val="21"/>
                <w:highlight w:val="none"/>
                <w:shd w:val="clear" w:color="auto" w:fill="FFFFFF"/>
              </w:rPr>
              <w:t>采购人：</w:t>
            </w:r>
            <w:r>
              <w:rPr>
                <w:rFonts w:hint="eastAsia" w:cs="宋体"/>
                <w:color w:val="000000"/>
                <w:kern w:val="2"/>
                <w:sz w:val="21"/>
                <w:szCs w:val="21"/>
                <w:highlight w:val="none"/>
                <w:shd w:val="clear" w:color="auto" w:fill="FFFFFF"/>
                <w:lang w:bidi="ar"/>
              </w:rPr>
              <w:t>霍山县水利工程项目建设中心、安徽淠河水能资源开发有限公司</w:t>
            </w:r>
          </w:p>
          <w:p w14:paraId="1D5D3663">
            <w:pPr>
              <w:pStyle w:val="17"/>
              <w:shd w:val="clear" w:color="auto" w:fill="FFFFFF"/>
              <w:spacing w:before="0" w:beforeAutospacing="0" w:after="0" w:afterAutospacing="0" w:line="315" w:lineRule="atLeast"/>
              <w:rPr>
                <w:rFonts w:hint="eastAsia" w:cs="宋体"/>
                <w:color w:val="000000"/>
                <w:kern w:val="2"/>
                <w:sz w:val="21"/>
                <w:szCs w:val="21"/>
                <w:highlight w:val="none"/>
                <w:shd w:val="clear" w:color="auto" w:fill="FFFFFF"/>
                <w:lang w:bidi="ar"/>
              </w:rPr>
            </w:pPr>
            <w:r>
              <w:rPr>
                <w:rFonts w:hint="eastAsia" w:cs="宋体"/>
                <w:color w:val="000000"/>
                <w:kern w:val="2"/>
                <w:sz w:val="21"/>
                <w:szCs w:val="21"/>
                <w:highlight w:val="none"/>
                <w:shd w:val="clear" w:color="auto" w:fill="FFFFFF"/>
                <w:lang w:bidi="ar"/>
              </w:rPr>
              <w:t>地  址：霍山县南岳东路40号水务局3楼、霍山县衡山镇南岳东路40号</w:t>
            </w:r>
          </w:p>
          <w:p w14:paraId="1F391D39">
            <w:pPr>
              <w:pStyle w:val="17"/>
              <w:shd w:val="clear" w:color="auto" w:fill="FFFFFF"/>
              <w:spacing w:before="0" w:beforeAutospacing="0" w:after="0" w:afterAutospacing="0" w:line="315" w:lineRule="atLeast"/>
              <w:rPr>
                <w:rFonts w:hint="eastAsia" w:cs="宋体"/>
                <w:color w:val="000000"/>
                <w:kern w:val="2"/>
                <w:sz w:val="21"/>
                <w:szCs w:val="21"/>
                <w:highlight w:val="none"/>
                <w:shd w:val="clear" w:color="auto" w:fill="FFFFFF"/>
                <w:lang w:bidi="ar"/>
              </w:rPr>
            </w:pPr>
            <w:r>
              <w:rPr>
                <w:rFonts w:hint="eastAsia" w:cs="宋体"/>
                <w:color w:val="000000"/>
                <w:kern w:val="2"/>
                <w:sz w:val="21"/>
                <w:szCs w:val="21"/>
                <w:highlight w:val="none"/>
                <w:shd w:val="clear" w:color="auto" w:fill="FFFFFF"/>
                <w:lang w:bidi="ar"/>
              </w:rPr>
              <w:t>联系人：徐先生</w:t>
            </w:r>
          </w:p>
          <w:p w14:paraId="01ACB172">
            <w:pPr>
              <w:adjustRightInd w:val="0"/>
              <w:snapToGrid w:val="0"/>
              <w:spacing w:line="310" w:lineRule="exact"/>
              <w:rPr>
                <w:rFonts w:hint="eastAsia" w:cs="Arial"/>
                <w:szCs w:val="21"/>
                <w:highlight w:val="none"/>
              </w:rPr>
            </w:pPr>
            <w:r>
              <w:rPr>
                <w:rFonts w:hint="eastAsia" w:ascii="宋体" w:hAnsi="宋体" w:cs="宋体"/>
                <w:color w:val="000000"/>
                <w:szCs w:val="21"/>
                <w:highlight w:val="none"/>
                <w:shd w:val="clear" w:color="auto" w:fill="FFFFFF"/>
                <w:lang w:bidi="ar"/>
              </w:rPr>
              <w:t>电  话：</w:t>
            </w:r>
            <w:r>
              <w:rPr>
                <w:rFonts w:hint="eastAsia" w:cs="宋体"/>
                <w:szCs w:val="21"/>
                <w:highlight w:val="none"/>
                <w:shd w:val="clear" w:color="auto" w:fill="FFFFFF"/>
              </w:rPr>
              <w:t>0564-5031165</w:t>
            </w:r>
          </w:p>
        </w:tc>
      </w:tr>
      <w:tr w14:paraId="17ADF6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B702B29">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B3B3549">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代理机构</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BC6B5EA">
            <w:pPr>
              <w:pStyle w:val="17"/>
              <w:shd w:val="clear" w:color="auto" w:fill="FFFFFF"/>
              <w:spacing w:before="0" w:beforeAutospacing="0" w:after="0" w:afterAutospacing="0" w:line="315" w:lineRule="atLeast"/>
              <w:rPr>
                <w:rFonts w:hint="eastAsia" w:cs="宋体"/>
                <w:color w:val="000000"/>
                <w:sz w:val="21"/>
                <w:szCs w:val="21"/>
                <w:highlight w:val="none"/>
                <w:shd w:val="clear" w:color="auto" w:fill="FFFFFF"/>
              </w:rPr>
            </w:pPr>
            <w:r>
              <w:rPr>
                <w:rFonts w:hint="eastAsia" w:cs="宋体"/>
                <w:color w:val="000000"/>
                <w:sz w:val="21"/>
                <w:szCs w:val="21"/>
                <w:highlight w:val="none"/>
                <w:shd w:val="clear" w:color="auto" w:fill="FFFFFF"/>
              </w:rPr>
              <w:t>代理机构：安徽大别山工程咨询有限公司</w:t>
            </w:r>
          </w:p>
          <w:p w14:paraId="392A63F4">
            <w:pPr>
              <w:pStyle w:val="17"/>
              <w:shd w:val="clear" w:color="auto" w:fill="FFFFFF"/>
              <w:spacing w:before="0" w:beforeAutospacing="0" w:after="0" w:afterAutospacing="0" w:line="315" w:lineRule="atLeast"/>
              <w:rPr>
                <w:rFonts w:hint="eastAsia" w:cs="宋体"/>
                <w:sz w:val="21"/>
                <w:szCs w:val="21"/>
                <w:highlight w:val="none"/>
                <w:shd w:val="clear" w:color="auto" w:fill="FFFFFF"/>
              </w:rPr>
            </w:pPr>
            <w:r>
              <w:rPr>
                <w:rFonts w:hint="eastAsia" w:cs="宋体"/>
                <w:color w:val="000000"/>
                <w:sz w:val="21"/>
                <w:szCs w:val="21"/>
                <w:highlight w:val="none"/>
                <w:shd w:val="clear" w:color="auto" w:fill="FFFFFF"/>
              </w:rPr>
              <w:t>地址：</w:t>
            </w:r>
            <w:r>
              <w:rPr>
                <w:rFonts w:hint="eastAsia" w:cs="宋体"/>
                <w:sz w:val="21"/>
                <w:szCs w:val="21"/>
                <w:highlight w:val="none"/>
                <w:shd w:val="clear" w:color="auto" w:fill="FFFFFF"/>
              </w:rPr>
              <w:t>霍山县政务区国投大厦（淠河东路以南，霍山大道以东）</w:t>
            </w:r>
          </w:p>
          <w:p w14:paraId="2CCB3228">
            <w:pPr>
              <w:pStyle w:val="17"/>
              <w:shd w:val="clear" w:color="auto" w:fill="FFFFFF"/>
              <w:spacing w:before="0" w:beforeAutospacing="0" w:after="0" w:afterAutospacing="0" w:line="315" w:lineRule="atLeast"/>
              <w:rPr>
                <w:rFonts w:cs="宋体"/>
                <w:color w:val="000000"/>
                <w:sz w:val="21"/>
                <w:szCs w:val="21"/>
                <w:highlight w:val="none"/>
                <w:shd w:val="clear" w:color="auto" w:fill="FFFFFF"/>
              </w:rPr>
            </w:pPr>
            <w:r>
              <w:rPr>
                <w:rFonts w:hint="eastAsia" w:cs="宋体"/>
                <w:color w:val="000000"/>
                <w:sz w:val="21"/>
                <w:szCs w:val="21"/>
                <w:highlight w:val="none"/>
                <w:shd w:val="clear" w:color="auto" w:fill="FFFFFF"/>
              </w:rPr>
              <w:t>联系人：徐工</w:t>
            </w:r>
          </w:p>
          <w:p w14:paraId="1A7235CA">
            <w:pPr>
              <w:adjustRightInd w:val="0"/>
              <w:snapToGrid w:val="0"/>
              <w:spacing w:line="310" w:lineRule="exact"/>
              <w:rPr>
                <w:rFonts w:ascii="宋体" w:hAnsi="宋体" w:cs="宋体"/>
                <w:highlight w:val="none"/>
              </w:rPr>
            </w:pPr>
            <w:r>
              <w:rPr>
                <w:rFonts w:hint="eastAsia" w:ascii="宋体" w:hAnsi="宋体" w:cs="宋体"/>
                <w:color w:val="000000"/>
                <w:szCs w:val="21"/>
                <w:highlight w:val="none"/>
                <w:shd w:val="clear" w:color="auto" w:fill="FFFFFF"/>
              </w:rPr>
              <w:t>联系方式：</w:t>
            </w:r>
            <w:r>
              <w:rPr>
                <w:rFonts w:hint="eastAsia" w:cs="宋体"/>
                <w:color w:val="000000"/>
                <w:szCs w:val="21"/>
                <w:highlight w:val="none"/>
                <w:shd w:val="clear" w:color="auto" w:fill="FFFFFF"/>
              </w:rPr>
              <w:t>0564-5020033、</w:t>
            </w:r>
            <w:r>
              <w:rPr>
                <w:rFonts w:hint="eastAsia" w:cs="宋体"/>
                <w:color w:val="000000"/>
                <w:szCs w:val="21"/>
                <w:highlight w:val="none"/>
                <w:shd w:val="clear" w:color="auto" w:fill="FFFFFF"/>
                <w:lang w:bidi="ar"/>
              </w:rPr>
              <w:t>17756405133</w:t>
            </w:r>
          </w:p>
        </w:tc>
      </w:tr>
      <w:tr w14:paraId="364AF2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E9C73E8">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BDD6ECF">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采购方式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1D3C07D">
            <w:pPr>
              <w:adjustRightInd w:val="0"/>
              <w:snapToGrid w:val="0"/>
              <w:spacing w:line="310" w:lineRule="exact"/>
              <w:rPr>
                <w:rFonts w:hint="eastAsia" w:ascii="宋体" w:hAnsi="宋体" w:cs="宋体"/>
                <w:highlight w:val="none"/>
              </w:rPr>
            </w:pPr>
            <w:r>
              <w:rPr>
                <w:rFonts w:hint="eastAsia" w:ascii="宋体" w:hAnsi="宋体" w:cs="宋体"/>
                <w:highlight w:val="none"/>
              </w:rPr>
              <w:t>竞争谈判</w:t>
            </w:r>
          </w:p>
        </w:tc>
      </w:tr>
      <w:tr w14:paraId="655F38D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70131B9">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67BC3F0">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资金来源</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57E37F6">
            <w:pPr>
              <w:adjustRightInd w:val="0"/>
              <w:snapToGrid w:val="0"/>
              <w:spacing w:line="310" w:lineRule="exact"/>
              <w:rPr>
                <w:rFonts w:hint="eastAsia" w:ascii="宋体" w:hAnsi="宋体" w:cs="宋体"/>
                <w:highlight w:val="none"/>
              </w:rPr>
            </w:pPr>
            <w:r>
              <w:rPr>
                <w:rFonts w:hint="eastAsia" w:ascii="宋体" w:hAnsi="宋体" w:cs="宋体"/>
                <w:highlight w:val="none"/>
              </w:rPr>
              <w:t>自筹资金</w:t>
            </w:r>
          </w:p>
        </w:tc>
      </w:tr>
      <w:tr w14:paraId="460FAD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CD37D70">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B886DE">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项目内容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E102047">
            <w:pPr>
              <w:rPr>
                <w:rFonts w:hint="eastAsia"/>
                <w:highlight w:val="none"/>
              </w:rPr>
            </w:pPr>
            <w:r>
              <w:rPr>
                <w:rFonts w:hint="eastAsia" w:ascii="宋体" w:hAnsi="宋体" w:cs="宋体"/>
                <w:szCs w:val="21"/>
                <w:highlight w:val="none"/>
              </w:rPr>
              <w:t>霍山县绿色小水电建设工程（霍山县绿色水资源综合利用工程）包含9座电站，均需完成安全标准化达标并申报水利部绿色小水电示范站。为保证申报工作顺利完成，拟委托一家专业机构协助完成本项目相关工作。（详见采购需求）</w:t>
            </w:r>
          </w:p>
        </w:tc>
      </w:tr>
      <w:tr w14:paraId="286FD8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E249BAF">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50634A0">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供应商资格要求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2EC5442">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rPr>
                <w:rFonts w:hint="eastAsia"/>
                <w:highlight w:val="none"/>
              </w:rPr>
            </w:pPr>
            <w:r>
              <w:rPr>
                <w:rFonts w:hint="eastAsia"/>
                <w:highlight w:val="none"/>
              </w:rPr>
              <w:t>详见谈判公告。</w:t>
            </w:r>
          </w:p>
        </w:tc>
      </w:tr>
      <w:tr w14:paraId="53A8A3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88F5316">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4B66F35">
            <w:pPr>
              <w:pStyle w:val="26"/>
              <w:pBdr>
                <w:bottom w:val="none" w:color="auto" w:sz="0" w:space="0"/>
              </w:pBdr>
              <w:tabs>
                <w:tab w:val="clear" w:pos="4153"/>
                <w:tab w:val="clear" w:pos="8306"/>
              </w:tabs>
              <w:adjustRightInd/>
              <w:spacing w:line="460" w:lineRule="exact"/>
              <w:jc w:val="both"/>
              <w:textAlignment w:val="auto"/>
              <w:rPr>
                <w:rFonts w:hint="eastAsia" w:ascii="宋体" w:hAnsi="宋体" w:cs="宋体"/>
                <w:szCs w:val="21"/>
                <w:highlight w:val="none"/>
              </w:rPr>
            </w:pPr>
            <w:r>
              <w:rPr>
                <w:rFonts w:hint="eastAsia" w:ascii="宋体" w:hAnsi="宋体" w:cs="宋体"/>
                <w:kern w:val="2"/>
                <w:sz w:val="21"/>
                <w:szCs w:val="21"/>
                <w:highlight w:val="none"/>
              </w:rPr>
              <w:t>询问、质疑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268FA8B">
            <w:pPr>
              <w:widowControl/>
              <w:shd w:val="clear" w:color="auto" w:fill="FFFFFF"/>
              <w:adjustRightInd w:val="0"/>
              <w:snapToGrid w:val="0"/>
              <w:spacing w:line="360" w:lineRule="exact"/>
              <w:ind w:firstLine="420" w:firstLineChars="200"/>
              <w:jc w:val="left"/>
              <w:rPr>
                <w:rFonts w:hint="eastAsia" w:ascii="宋体" w:hAnsi="宋体" w:cs="宋体"/>
                <w:highlight w:val="none"/>
              </w:rPr>
            </w:pPr>
            <w:r>
              <w:rPr>
                <w:rFonts w:hint="eastAsia" w:ascii="宋体" w:hAnsi="宋体" w:cs="宋体"/>
                <w:highlight w:val="none"/>
              </w:rPr>
              <w:t>供应商如果对招标文件存在误解或理解不清，可以按以下方式提出询问：谈判截止日期前2天前提交电子版发至邮1293912414@qq.com。逾期不予受理（不得署名）。</w:t>
            </w:r>
          </w:p>
          <w:p w14:paraId="1759FD47">
            <w:pPr>
              <w:widowControl/>
              <w:shd w:val="clear" w:color="auto" w:fill="FFFFFF"/>
              <w:adjustRightInd w:val="0"/>
              <w:snapToGrid w:val="0"/>
              <w:spacing w:line="360" w:lineRule="exact"/>
              <w:ind w:firstLine="420" w:firstLineChars="200"/>
              <w:jc w:val="left"/>
              <w:rPr>
                <w:rFonts w:hint="eastAsia" w:ascii="宋体" w:hAnsi="宋体" w:cs="宋体"/>
                <w:highlight w:val="none"/>
              </w:rPr>
            </w:pPr>
            <w:r>
              <w:rPr>
                <w:rFonts w:hint="eastAsia" w:ascii="宋体" w:hAnsi="宋体" w:cs="宋体"/>
                <w:highlight w:val="none"/>
              </w:rPr>
              <w:t xml:space="preserve">答复：谈判截止日期前1天前于“安徽霍山国有资产投资控股集团有限公司（http://ahdmig.cn/）”发布，采购人不再另行通知，该答复内容为招标文件的组成部分，对供应商具有同样约束力效力。 </w:t>
            </w:r>
          </w:p>
          <w:p w14:paraId="5FEBF78E">
            <w:pPr>
              <w:widowControl/>
              <w:shd w:val="clear" w:color="auto" w:fill="FFFFFF"/>
              <w:adjustRightInd w:val="0"/>
              <w:snapToGrid w:val="0"/>
              <w:spacing w:line="360" w:lineRule="exact"/>
              <w:ind w:firstLine="420" w:firstLineChars="200"/>
              <w:jc w:val="left"/>
              <w:rPr>
                <w:rFonts w:hint="eastAsia" w:ascii="宋体" w:hAnsi="宋体" w:cs="宋体"/>
                <w:highlight w:val="none"/>
              </w:rPr>
            </w:pPr>
            <w:r>
              <w:rPr>
                <w:rFonts w:hint="eastAsia" w:ascii="宋体" w:hAnsi="宋体" w:cs="宋体"/>
                <w:highlight w:val="none"/>
              </w:rPr>
              <w:t xml:space="preserve">供应商如果认为自己的权益受到损害，请按招标文件质疑与投诉规定，提出质疑。供应商在递交质疑函纸质版的同时，必须将与纸质版质疑函一致的电子版（为 word 或 </w:t>
            </w:r>
            <w:r>
              <w:rPr>
                <w:rFonts w:hint="eastAsia" w:ascii="宋体" w:hAnsi="宋体" w:cs="宋体"/>
                <w:highlight w:val="none"/>
              </w:rPr>
              <w:fldChar w:fldCharType="begin"/>
            </w:r>
            <w:r>
              <w:rPr>
                <w:rFonts w:hint="eastAsia" w:ascii="宋体" w:hAnsi="宋体" w:cs="宋体"/>
                <w:highlight w:val="none"/>
              </w:rPr>
              <w:instrText xml:space="preserve"> HYPERLINK "mailto:wps,可编辑模式）发送至729311153@qq.com邮箱。质疑须在开标2020年" </w:instrText>
            </w:r>
            <w:r>
              <w:rPr>
                <w:rFonts w:hint="eastAsia" w:ascii="宋体" w:hAnsi="宋体" w:cs="宋体"/>
                <w:highlight w:val="none"/>
              </w:rPr>
              <w:fldChar w:fldCharType="separate"/>
            </w:r>
            <w:r>
              <w:rPr>
                <w:rFonts w:hint="eastAsia" w:ascii="宋体" w:hAnsi="宋体" w:cs="宋体"/>
                <w:highlight w:val="none"/>
              </w:rPr>
              <w:t>wps,可编辑模式）发送1293912414@qq.com邮箱。质疑须在谈判截止日期2天</w:t>
            </w:r>
            <w:r>
              <w:rPr>
                <w:rFonts w:hint="eastAsia" w:ascii="宋体" w:hAnsi="宋体" w:cs="宋体"/>
                <w:highlight w:val="none"/>
              </w:rPr>
              <w:fldChar w:fldCharType="end"/>
            </w:r>
            <w:r>
              <w:rPr>
                <w:rFonts w:hint="eastAsia" w:ascii="宋体" w:hAnsi="宋体" w:cs="宋体"/>
                <w:highlight w:val="none"/>
              </w:rPr>
              <w:t>前提出，否则不予受理。</w:t>
            </w:r>
          </w:p>
          <w:p w14:paraId="290D48C0">
            <w:pPr>
              <w:rPr>
                <w:rFonts w:hint="eastAsia" w:ascii="宋体" w:hAnsi="宋体" w:eastAsia="宋体" w:cs="宋体"/>
                <w:highlight w:val="none"/>
                <w:lang w:eastAsia="zh-CN"/>
              </w:rPr>
            </w:pPr>
            <w:r>
              <w:rPr>
                <w:rFonts w:hint="eastAsia" w:ascii="宋体" w:hAnsi="宋体" w:cs="宋体"/>
                <w:highlight w:val="none"/>
              </w:rPr>
              <w:t>质疑函应当包括下列主要内容：</w:t>
            </w:r>
          </w:p>
          <w:p w14:paraId="7D6B7210">
            <w:pPr>
              <w:rPr>
                <w:rFonts w:hint="eastAsia" w:ascii="宋体" w:hAnsi="宋体" w:eastAsia="宋体" w:cs="宋体"/>
                <w:highlight w:val="none"/>
                <w:lang w:eastAsia="zh-CN"/>
              </w:rPr>
            </w:pPr>
            <w:r>
              <w:rPr>
                <w:rFonts w:hint="eastAsia" w:ascii="宋体" w:hAnsi="宋体" w:cs="宋体"/>
                <w:highlight w:val="none"/>
              </w:rPr>
              <w:t>1.质疑人的名称、地址、联系电话(固定电话及手机)；</w:t>
            </w:r>
          </w:p>
          <w:p w14:paraId="1550F55E">
            <w:pPr>
              <w:rPr>
                <w:rFonts w:hint="eastAsia" w:ascii="宋体" w:hAnsi="宋体" w:eastAsia="宋体" w:cs="宋体"/>
                <w:highlight w:val="none"/>
                <w:lang w:eastAsia="zh-CN"/>
              </w:rPr>
            </w:pPr>
            <w:r>
              <w:rPr>
                <w:rFonts w:hint="eastAsia" w:ascii="宋体" w:hAnsi="宋体" w:cs="宋体"/>
                <w:highlight w:val="none"/>
              </w:rPr>
              <w:t>2.项目名称、项目编号及标段号或分包号；</w:t>
            </w:r>
          </w:p>
          <w:p w14:paraId="7BE2C9CB">
            <w:pPr>
              <w:rPr>
                <w:rFonts w:hint="eastAsia" w:ascii="宋体" w:hAnsi="宋体" w:eastAsia="宋体" w:cs="宋体"/>
                <w:highlight w:val="none"/>
                <w:lang w:eastAsia="zh-CN"/>
              </w:rPr>
            </w:pPr>
            <w:r>
              <w:rPr>
                <w:rFonts w:hint="eastAsia" w:ascii="宋体" w:hAnsi="宋体" w:cs="宋体"/>
                <w:highlight w:val="none"/>
              </w:rPr>
              <w:t>3.具体的质疑事项、原因、基本事实及相关证明材料；</w:t>
            </w:r>
          </w:p>
          <w:p w14:paraId="175953E9">
            <w:pPr>
              <w:rPr>
                <w:rFonts w:hint="eastAsia" w:ascii="宋体" w:hAnsi="宋体" w:eastAsia="宋体" w:cs="宋体"/>
                <w:highlight w:val="none"/>
                <w:lang w:eastAsia="zh-CN"/>
              </w:rPr>
            </w:pPr>
            <w:r>
              <w:rPr>
                <w:rFonts w:hint="eastAsia" w:ascii="宋体" w:hAnsi="宋体" w:cs="宋体"/>
                <w:highlight w:val="none"/>
              </w:rPr>
              <w:t>4.本次质疑的法人授权书（后附法人、被授权人身份证扫描件）；</w:t>
            </w:r>
          </w:p>
          <w:p w14:paraId="0BFBD436">
            <w:pPr>
              <w:rPr>
                <w:rFonts w:hint="eastAsia"/>
                <w:highlight w:val="none"/>
              </w:rPr>
            </w:pPr>
            <w:r>
              <w:rPr>
                <w:rFonts w:hint="eastAsia" w:ascii="宋体" w:hAnsi="宋体" w:cs="宋体"/>
                <w:highlight w:val="none"/>
              </w:rPr>
              <w:t>5.提起质疑的日期。</w:t>
            </w:r>
          </w:p>
        </w:tc>
      </w:tr>
      <w:tr w14:paraId="18C818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9E0059E">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13E8E27">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资格审查方式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F5D5CB2">
            <w:pPr>
              <w:rPr>
                <w:rFonts w:hint="eastAsia"/>
                <w:highlight w:val="none"/>
              </w:rPr>
            </w:pPr>
            <w:r>
              <w:rPr>
                <w:rFonts w:hint="eastAsia"/>
                <w:highlight w:val="none"/>
              </w:rPr>
              <w:t>□资格预审 √资格后审</w:t>
            </w:r>
          </w:p>
        </w:tc>
      </w:tr>
      <w:tr w14:paraId="4929B7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44B4D67">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485D48B">
            <w:pPr>
              <w:adjustRightInd w:val="0"/>
              <w:snapToGrid w:val="0"/>
              <w:spacing w:line="310" w:lineRule="exact"/>
              <w:rPr>
                <w:rFonts w:hint="eastAsia" w:ascii="宋体" w:hAnsi="宋体" w:cs="宋体"/>
                <w:szCs w:val="21"/>
                <w:highlight w:val="none"/>
              </w:rPr>
            </w:pPr>
            <w:r>
              <w:rPr>
                <w:rFonts w:hint="eastAsia"/>
                <w:highlight w:val="none"/>
              </w:rPr>
              <w:t>是否接受联合体</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FA415E3">
            <w:pPr>
              <w:rPr>
                <w:rFonts w:hint="eastAsia"/>
                <w:highlight w:val="none"/>
              </w:rPr>
            </w:pPr>
            <w:r>
              <w:rPr>
                <w:rFonts w:hint="eastAsia"/>
                <w:highlight w:val="none"/>
              </w:rPr>
              <w:t>□接受    √不接受</w:t>
            </w:r>
          </w:p>
        </w:tc>
      </w:tr>
      <w:tr w14:paraId="4F9A1F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639E4445">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DFFFEC5">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谈判预备会</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4C05FC">
            <w:pPr>
              <w:rPr>
                <w:rFonts w:hint="eastAsia"/>
                <w:highlight w:val="none"/>
              </w:rPr>
            </w:pPr>
            <w:r>
              <w:rPr>
                <w:rFonts w:hint="eastAsia"/>
                <w:highlight w:val="none"/>
              </w:rPr>
              <w:t>√不召开  □召开</w:t>
            </w:r>
          </w:p>
        </w:tc>
      </w:tr>
      <w:tr w14:paraId="1571DC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0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918F38B">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E0D153E">
            <w:pPr>
              <w:adjustRightInd w:val="0"/>
              <w:snapToGrid w:val="0"/>
              <w:spacing w:line="320" w:lineRule="exact"/>
              <w:rPr>
                <w:rFonts w:hint="eastAsia" w:ascii="宋体" w:hAnsi="宋体" w:cs="宋体"/>
                <w:szCs w:val="21"/>
                <w:highlight w:val="none"/>
              </w:rPr>
            </w:pPr>
            <w:r>
              <w:rPr>
                <w:rFonts w:hint="eastAsia" w:ascii="宋体" w:hAnsi="宋体" w:cs="宋体"/>
                <w:szCs w:val="21"/>
                <w:highlight w:val="none"/>
              </w:rPr>
              <w:t>偏离</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5AA8D0D">
            <w:pPr>
              <w:rPr>
                <w:rFonts w:hint="eastAsia"/>
                <w:highlight w:val="none"/>
              </w:rPr>
            </w:pPr>
            <w:r>
              <w:rPr>
                <w:rFonts w:hint="eastAsia"/>
                <w:highlight w:val="none"/>
              </w:rPr>
              <w:t>√不允许负偏离    □允许</w:t>
            </w:r>
          </w:p>
        </w:tc>
      </w:tr>
      <w:tr w14:paraId="19AC273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85794E2">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C958A62">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分包</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FCE999">
            <w:pPr>
              <w:rPr>
                <w:rFonts w:hint="eastAsia"/>
                <w:highlight w:val="none"/>
              </w:rPr>
            </w:pPr>
            <w:r>
              <w:rPr>
                <w:rFonts w:hint="eastAsia"/>
                <w:highlight w:val="none"/>
              </w:rPr>
              <w:t>√不允许        □允许</w:t>
            </w:r>
          </w:p>
        </w:tc>
      </w:tr>
      <w:tr w14:paraId="332B80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9"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8C9F521">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F223884">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谈判有效期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7DB3B04">
            <w:pPr>
              <w:rPr>
                <w:rFonts w:hint="eastAsia"/>
                <w:highlight w:val="none"/>
              </w:rPr>
            </w:pPr>
            <w:r>
              <w:rPr>
                <w:rFonts w:hint="eastAsia"/>
                <w:highlight w:val="none"/>
              </w:rPr>
              <w:t>60日历天（从提交响应文件截止之日算起）</w:t>
            </w:r>
          </w:p>
        </w:tc>
      </w:tr>
      <w:tr w14:paraId="1DBB337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98FDB73">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15330B4">
            <w:pPr>
              <w:adjustRightInd w:val="0"/>
              <w:snapToGrid w:val="0"/>
              <w:spacing w:line="310" w:lineRule="exact"/>
              <w:jc w:val="left"/>
              <w:rPr>
                <w:rFonts w:hint="eastAsia" w:ascii="宋体" w:hAnsi="宋体" w:cs="宋体"/>
                <w:kern w:val="0"/>
                <w:szCs w:val="21"/>
                <w:highlight w:val="none"/>
                <w:lang w:val="zh-CN"/>
              </w:rPr>
            </w:pPr>
            <w:r>
              <w:rPr>
                <w:rFonts w:hint="eastAsia" w:ascii="宋体" w:hAnsi="宋体" w:cs="宋体"/>
                <w:kern w:val="0"/>
                <w:szCs w:val="21"/>
                <w:highlight w:val="none"/>
                <w:lang w:val="zh-CN"/>
              </w:rPr>
              <w:t>合同备案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DDB7510">
            <w:pPr>
              <w:rPr>
                <w:rFonts w:hint="eastAsia" w:ascii="宋体" w:hAnsi="宋体"/>
                <w:b/>
                <w:highlight w:val="none"/>
              </w:rPr>
            </w:pPr>
            <w:r>
              <w:rPr>
                <w:rFonts w:hint="eastAsia" w:ascii="宋体" w:hAnsi="宋体"/>
                <w:b/>
                <w:highlight w:val="none"/>
              </w:rPr>
              <w:t>采</w:t>
            </w:r>
            <w:r>
              <w:rPr>
                <w:rFonts w:hint="eastAsia" w:ascii="宋体" w:hAnsi="宋体"/>
                <w:b/>
                <w:szCs w:val="22"/>
                <w:highlight w:val="none"/>
              </w:rPr>
              <w:t>购人应当自合同签订之日起2个工作日内，将合同送安徽大别山工程咨询有限公司</w:t>
            </w:r>
            <w:r>
              <w:rPr>
                <w:rFonts w:hint="eastAsia" w:ascii="宋体" w:hAnsi="宋体"/>
                <w:b/>
                <w:highlight w:val="none"/>
              </w:rPr>
              <w:t>备案（合同可以是纸质合同或扫描件）。</w:t>
            </w:r>
          </w:p>
        </w:tc>
      </w:tr>
      <w:tr w14:paraId="2A94B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32"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C3945D">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C974611">
            <w:pPr>
              <w:adjustRightInd w:val="0"/>
              <w:snapToGrid w:val="0"/>
              <w:spacing w:line="310" w:lineRule="exact"/>
              <w:rPr>
                <w:rFonts w:hint="eastAsia" w:ascii="宋体" w:hAnsi="宋体" w:cs="宋体"/>
                <w:szCs w:val="21"/>
                <w:highlight w:val="none"/>
              </w:rPr>
            </w:pPr>
            <w:r>
              <w:rPr>
                <w:rFonts w:hint="eastAsia"/>
                <w:highlight w:val="none"/>
              </w:rPr>
              <w:t>是否允许递交备选方案</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5A96DCA">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√不允许            □允许</w:t>
            </w:r>
          </w:p>
        </w:tc>
      </w:tr>
      <w:tr w14:paraId="7596BD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9F88ECF">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18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659974FA">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谈判响应文件份数</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55B90D5">
            <w:pPr>
              <w:adjustRightInd w:val="0"/>
              <w:snapToGrid w:val="0"/>
              <w:spacing w:line="310" w:lineRule="exact"/>
              <w:rPr>
                <w:rFonts w:hint="eastAsia" w:ascii="宋体" w:hAnsi="宋体" w:cs="宋体"/>
                <w:b/>
                <w:szCs w:val="21"/>
                <w:highlight w:val="none"/>
              </w:rPr>
            </w:pPr>
            <w:r>
              <w:rPr>
                <w:rFonts w:hint="eastAsia" w:ascii="宋体" w:hAnsi="宋体" w:cs="宋体"/>
                <w:b/>
                <w:szCs w:val="21"/>
                <w:highlight w:val="none"/>
                <w:u w:val="single"/>
              </w:rPr>
              <w:t xml:space="preserve"> 壹 </w:t>
            </w:r>
            <w:r>
              <w:rPr>
                <w:rFonts w:hint="eastAsia" w:ascii="宋体" w:hAnsi="宋体" w:cs="宋体"/>
                <w:b/>
                <w:szCs w:val="21"/>
                <w:highlight w:val="none"/>
              </w:rPr>
              <w:t xml:space="preserve">份正本， </w:t>
            </w:r>
            <w:r>
              <w:rPr>
                <w:rFonts w:hint="eastAsia" w:ascii="宋体" w:hAnsi="宋体" w:cs="宋体"/>
                <w:b/>
                <w:szCs w:val="21"/>
                <w:highlight w:val="none"/>
                <w:u w:val="single"/>
              </w:rPr>
              <w:t xml:space="preserve"> 贰 </w:t>
            </w:r>
            <w:r>
              <w:rPr>
                <w:rFonts w:hint="eastAsia" w:ascii="宋体" w:hAnsi="宋体" w:cs="宋体"/>
                <w:b/>
                <w:szCs w:val="21"/>
                <w:highlight w:val="none"/>
              </w:rPr>
              <w:t>份副本</w:t>
            </w:r>
          </w:p>
        </w:tc>
      </w:tr>
      <w:tr w14:paraId="133C52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5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DC74281">
            <w:pPr>
              <w:adjustRightInd w:val="0"/>
              <w:snapToGrid w:val="0"/>
              <w:spacing w:line="310" w:lineRule="exact"/>
              <w:jc w:val="center"/>
              <w:rPr>
                <w:rFonts w:ascii="宋体" w:hAnsi="宋体" w:cs="宋体"/>
                <w:szCs w:val="21"/>
                <w:highlight w:val="none"/>
              </w:rPr>
            </w:pPr>
            <w:r>
              <w:rPr>
                <w:rFonts w:hint="eastAsia" w:ascii="宋体" w:hAnsi="宋体" w:cs="宋体"/>
                <w:szCs w:val="21"/>
                <w:highlight w:val="none"/>
              </w:rPr>
              <w:t>19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6BDCEA2">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签字或盖章要求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0FBCD4FE">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响应文件封面、谈判函均应加盖谈判供应商公章并经法定代表人或其委托代理人签字或盖章。由委托代理人签字或盖章的在谈判响应文件中须同时提交谈判响应文件签署授权委托书。谈判响应文件签署授权委托书格式、签字、盖章及内容均应符合要求，否则谈判响应文件签署授权委托书无效。</w:t>
            </w:r>
          </w:p>
        </w:tc>
      </w:tr>
      <w:tr w14:paraId="2303C3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5670D839">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1BF24EE">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装订要求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ABAC6E2">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谈判响应文件应采用牛皮纸袋封装并密封，必须加盖谈判供应商公章和法人代表或委托代理人签字或盖章，注明日期。谈判响应文件应</w:t>
            </w:r>
            <w:r>
              <w:rPr>
                <w:rFonts w:hint="eastAsia" w:ascii="宋体" w:hAnsi="宋体" w:cs="宋体"/>
                <w:szCs w:val="21"/>
                <w:highlight w:val="none"/>
                <w:lang w:val="en-US" w:eastAsia="zh-CN"/>
              </w:rPr>
              <w:t>将</w:t>
            </w:r>
            <w:r>
              <w:rPr>
                <w:rFonts w:hint="eastAsia" w:ascii="宋体" w:hAnsi="宋体" w:cs="宋体"/>
                <w:szCs w:val="21"/>
                <w:highlight w:val="none"/>
              </w:rPr>
              <w:t>“正本”和“副本”装订成册，</w:t>
            </w:r>
            <w:r>
              <w:rPr>
                <w:rFonts w:hint="eastAsia" w:ascii="宋体" w:hAnsi="宋体" w:cs="宋体"/>
                <w:szCs w:val="21"/>
                <w:highlight w:val="none"/>
                <w:lang w:val="en-US" w:eastAsia="zh-CN"/>
              </w:rPr>
              <w:t>用一个密封袋封装，</w:t>
            </w:r>
            <w:r>
              <w:rPr>
                <w:rFonts w:hint="eastAsia" w:ascii="宋体" w:hAnsi="宋体" w:cs="宋体"/>
                <w:szCs w:val="21"/>
                <w:highlight w:val="none"/>
              </w:rPr>
              <w:t>其中正本一份，副本二份。封皮上应注明“（**）项目谈判响应文件”。</w:t>
            </w:r>
          </w:p>
        </w:tc>
      </w:tr>
      <w:tr w14:paraId="51E0D7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56"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4F443A19">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F786AE4">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密封要求</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752A9C7">
            <w:pPr>
              <w:adjustRightInd w:val="0"/>
              <w:snapToGrid w:val="0"/>
              <w:spacing w:line="310" w:lineRule="exact"/>
              <w:rPr>
                <w:rFonts w:hint="eastAsia" w:ascii="宋体" w:hAnsi="宋体" w:cs="宋体"/>
                <w:szCs w:val="21"/>
                <w:highlight w:val="none"/>
              </w:rPr>
            </w:pPr>
            <w:r>
              <w:rPr>
                <w:rFonts w:hint="eastAsia" w:ascii="宋体" w:hAnsi="宋体" w:cs="宋体"/>
                <w:bCs/>
                <w:szCs w:val="21"/>
                <w:highlight w:val="none"/>
              </w:rPr>
              <w:t>封套上应写明：</w:t>
            </w:r>
            <w:r>
              <w:rPr>
                <w:rFonts w:hint="eastAsia" w:ascii="宋体" w:hAnsi="宋体" w:cs="宋体"/>
                <w:kern w:val="10"/>
                <w:szCs w:val="21"/>
                <w:highlight w:val="none"/>
              </w:rPr>
              <w:t>“</w:t>
            </w:r>
            <w:r>
              <w:rPr>
                <w:rFonts w:hint="eastAsia" w:ascii="宋体" w:hAnsi="宋体" w:cs="宋体"/>
                <w:kern w:val="10"/>
                <w:szCs w:val="21"/>
                <w:highlight w:val="none"/>
                <w:u w:val="single"/>
              </w:rPr>
              <w:t xml:space="preserve">  （采购项目名称）  </w:t>
            </w:r>
            <w:r>
              <w:rPr>
                <w:rFonts w:hint="eastAsia" w:ascii="宋体" w:hAnsi="宋体" w:cs="宋体"/>
                <w:szCs w:val="21"/>
                <w:highlight w:val="none"/>
              </w:rPr>
              <w:t>谈判响应文件</w:t>
            </w:r>
            <w:r>
              <w:rPr>
                <w:rFonts w:hint="eastAsia" w:ascii="宋体" w:hAnsi="宋体" w:cs="宋体"/>
                <w:kern w:val="10"/>
                <w:szCs w:val="21"/>
                <w:highlight w:val="none"/>
              </w:rPr>
              <w:t>、</w:t>
            </w:r>
            <w:r>
              <w:rPr>
                <w:rFonts w:hint="eastAsia" w:ascii="宋体" w:hAnsi="宋体" w:cs="宋体"/>
                <w:kern w:val="10"/>
                <w:szCs w:val="21"/>
                <w:highlight w:val="none"/>
                <w:u w:val="single"/>
              </w:rPr>
              <w:t xml:space="preserve">      </w:t>
            </w:r>
            <w:r>
              <w:rPr>
                <w:rFonts w:hint="eastAsia" w:ascii="宋体" w:hAnsi="宋体" w:cs="宋体"/>
                <w:bCs/>
                <w:kern w:val="0"/>
                <w:szCs w:val="21"/>
                <w:highlight w:val="none"/>
              </w:rPr>
              <w:t>年</w:t>
            </w:r>
            <w:r>
              <w:rPr>
                <w:rFonts w:hint="eastAsia" w:ascii="宋体" w:hAnsi="宋体" w:cs="宋体"/>
                <w:bCs/>
                <w:kern w:val="0"/>
                <w:szCs w:val="21"/>
                <w:highlight w:val="none"/>
                <w:u w:val="single"/>
              </w:rPr>
              <w:t xml:space="preserve">      </w:t>
            </w:r>
            <w:r>
              <w:rPr>
                <w:rFonts w:hint="eastAsia" w:ascii="宋体" w:hAnsi="宋体" w:cs="宋体"/>
                <w:bCs/>
                <w:kern w:val="0"/>
                <w:szCs w:val="21"/>
                <w:highlight w:val="none"/>
              </w:rPr>
              <w:t>月</w:t>
            </w:r>
            <w:r>
              <w:rPr>
                <w:rFonts w:hint="eastAsia" w:ascii="宋体" w:hAnsi="宋体" w:cs="宋体"/>
                <w:bCs/>
                <w:kern w:val="0"/>
                <w:szCs w:val="21"/>
                <w:highlight w:val="none"/>
                <w:u w:val="single"/>
              </w:rPr>
              <w:t xml:space="preserve">   </w:t>
            </w:r>
            <w:r>
              <w:rPr>
                <w:rFonts w:hint="eastAsia" w:ascii="宋体" w:hAnsi="宋体" w:cs="宋体"/>
                <w:bCs/>
                <w:kern w:val="0"/>
                <w:szCs w:val="21"/>
                <w:highlight w:val="none"/>
              </w:rPr>
              <w:t>日  时</w:t>
            </w:r>
            <w:r>
              <w:rPr>
                <w:rFonts w:hint="eastAsia" w:ascii="宋体" w:hAnsi="宋体" w:cs="宋体"/>
                <w:szCs w:val="21"/>
                <w:highlight w:val="none"/>
              </w:rPr>
              <w:t xml:space="preserve">  分前</w:t>
            </w:r>
            <w:r>
              <w:rPr>
                <w:rFonts w:hint="eastAsia" w:ascii="宋体" w:hAnsi="宋体" w:cs="宋体"/>
                <w:bCs/>
                <w:kern w:val="0"/>
                <w:szCs w:val="21"/>
                <w:highlight w:val="none"/>
              </w:rPr>
              <w:t>不得开启”</w:t>
            </w:r>
            <w:r>
              <w:rPr>
                <w:rFonts w:hint="eastAsia" w:ascii="宋体" w:hAnsi="宋体" w:cs="宋体"/>
                <w:kern w:val="10"/>
                <w:szCs w:val="21"/>
                <w:highlight w:val="none"/>
              </w:rPr>
              <w:t>字样。</w:t>
            </w:r>
          </w:p>
        </w:tc>
      </w:tr>
      <w:tr w14:paraId="305F6F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CBFF06B">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22940705">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谈判响应文件递交截止止时间及地点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38732179">
            <w:pPr>
              <w:adjustRightInd w:val="0"/>
              <w:snapToGrid w:val="0"/>
              <w:spacing w:line="310" w:lineRule="exact"/>
              <w:rPr>
                <w:highlight w:val="none"/>
              </w:rPr>
            </w:pPr>
            <w:r>
              <w:rPr>
                <w:rFonts w:hint="eastAsia"/>
                <w:highlight w:val="none"/>
              </w:rPr>
              <w:t>截止时间：同开标时间</w:t>
            </w:r>
          </w:p>
          <w:p w14:paraId="16F646B8">
            <w:pPr>
              <w:adjustRightInd w:val="0"/>
              <w:snapToGrid w:val="0"/>
              <w:spacing w:line="310" w:lineRule="exact"/>
              <w:rPr>
                <w:rFonts w:hint="eastAsia"/>
                <w:highlight w:val="none"/>
              </w:rPr>
            </w:pPr>
            <w:r>
              <w:rPr>
                <w:rFonts w:hint="eastAsia"/>
                <w:highlight w:val="none"/>
              </w:rPr>
              <w:t>地点：安徽大别山工程咨询有限公司开标厅201室（霍山县国投大厦）</w:t>
            </w:r>
          </w:p>
        </w:tc>
      </w:tr>
      <w:tr w14:paraId="3618E5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9D6323F">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D3818FC">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开标时间及地点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2C5C017">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详见采购公告。（</w:t>
            </w:r>
            <w:r>
              <w:rPr>
                <w:rFonts w:hint="eastAsia" w:ascii="宋体" w:hAnsi="宋体"/>
                <w:szCs w:val="21"/>
                <w:highlight w:val="none"/>
              </w:rPr>
              <w:t>若法定代表人本人参加开标会则只需查验身份证原件；若代理人参加开标会则需查验法定代表人授权委托书原件和代理人身份证原件，</w:t>
            </w:r>
            <w:r>
              <w:rPr>
                <w:rFonts w:hint="eastAsia" w:ascii="宋体"/>
                <w:b/>
                <w:bCs/>
                <w:szCs w:val="21"/>
                <w:highlight w:val="none"/>
              </w:rPr>
              <w:t>需在谈判文件中提供授权委托书及身份证的复印件并加盖供应商公章，评标现场查验原件。</w:t>
            </w:r>
            <w:r>
              <w:rPr>
                <w:rFonts w:hint="eastAsia" w:ascii="宋体" w:hAnsi="宋体" w:cs="宋体"/>
                <w:b/>
                <w:bCs/>
                <w:szCs w:val="21"/>
                <w:highlight w:val="none"/>
                <w:u w:val="single"/>
              </w:rPr>
              <w:t>代理人参加投标的，</w:t>
            </w:r>
            <w:r>
              <w:rPr>
                <w:rFonts w:hint="eastAsia" w:ascii="宋体" w:hAnsi="宋体" w:cs="宋体"/>
                <w:bCs/>
                <w:szCs w:val="21"/>
                <w:highlight w:val="none"/>
                <w:u w:val="single"/>
              </w:rPr>
              <w:t>如开标现场其未单独提交法人授权委托书，且投标文件也未有法人授权委托书原件，其投标文件按照无效投标处理</w:t>
            </w:r>
            <w:r>
              <w:rPr>
                <w:rFonts w:hint="eastAsia" w:ascii="宋体" w:hAnsi="宋体"/>
                <w:szCs w:val="21"/>
                <w:highlight w:val="none"/>
              </w:rPr>
              <w:t>。</w:t>
            </w:r>
            <w:r>
              <w:rPr>
                <w:rFonts w:hint="eastAsia" w:ascii="宋体" w:hAnsi="宋体" w:cs="宋体"/>
                <w:szCs w:val="21"/>
                <w:highlight w:val="none"/>
              </w:rPr>
              <w:t>）</w:t>
            </w:r>
          </w:p>
        </w:tc>
      </w:tr>
      <w:tr w14:paraId="157FF0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9A23922">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03A81BE">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谈判方法及标准</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62960C3F">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详见本文件第五章</w:t>
            </w:r>
          </w:p>
        </w:tc>
      </w:tr>
      <w:tr w14:paraId="12566E9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3"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3C9241B">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5C04808">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谈判小组的组建</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402105D">
            <w:pPr>
              <w:adjustRightInd w:val="0"/>
              <w:snapToGrid w:val="0"/>
              <w:spacing w:line="310" w:lineRule="exact"/>
              <w:rPr>
                <w:rFonts w:hint="eastAsia" w:ascii="宋体" w:hAnsi="宋体" w:eastAsia="宋体" w:cs="宋体"/>
                <w:szCs w:val="21"/>
                <w:highlight w:val="none"/>
                <w:lang w:eastAsia="zh-CN"/>
              </w:rPr>
            </w:pPr>
            <w:r>
              <w:rPr>
                <w:rFonts w:hint="eastAsia" w:ascii="宋体" w:hAnsi="宋体" w:cs="宋体"/>
                <w:szCs w:val="21"/>
                <w:highlight w:val="none"/>
              </w:rPr>
              <w:t>谈判小组构成</w:t>
            </w:r>
            <w:r>
              <w:rPr>
                <w:rFonts w:hint="eastAsia" w:ascii="宋体" w:hAnsi="宋体" w:cs="宋体"/>
                <w:szCs w:val="21"/>
                <w:highlight w:val="none"/>
                <w:lang w:eastAsia="zh-CN"/>
              </w:rPr>
              <w:t>：</w:t>
            </w:r>
            <w:r>
              <w:rPr>
                <w:rFonts w:hint="eastAsia" w:ascii="宋体" w:hAnsi="宋体" w:cs="宋体"/>
                <w:szCs w:val="21"/>
                <w:highlight w:val="none"/>
              </w:rPr>
              <w:t>按相关法律法规执行</w:t>
            </w:r>
          </w:p>
          <w:p w14:paraId="2EEFC251">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谈判小组确定方式</w:t>
            </w:r>
            <w:r>
              <w:rPr>
                <w:rFonts w:hint="eastAsia" w:ascii="宋体" w:hAnsi="宋体" w:cs="宋体"/>
                <w:szCs w:val="21"/>
                <w:highlight w:val="none"/>
                <w:lang w:eastAsia="zh-CN"/>
              </w:rPr>
              <w:t>：</w:t>
            </w:r>
            <w:r>
              <w:rPr>
                <w:rFonts w:hint="eastAsia" w:ascii="宋体" w:hAnsi="宋体" w:cs="宋体"/>
                <w:szCs w:val="21"/>
                <w:highlight w:val="none"/>
              </w:rPr>
              <w:t>随机抽取。</w:t>
            </w:r>
          </w:p>
        </w:tc>
      </w:tr>
      <w:tr w14:paraId="76AF3C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1"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2C82B9F5">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5EED6703">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是否授权谈判小组确定成交单位</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7562CC2">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√是      □否</w:t>
            </w:r>
          </w:p>
        </w:tc>
      </w:tr>
      <w:tr w14:paraId="4CBD1E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8"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4EB31BB">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27</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7ABD14C0">
            <w:pPr>
              <w:adjustRightInd w:val="0"/>
              <w:snapToGrid w:val="0"/>
              <w:spacing w:line="360" w:lineRule="exact"/>
              <w:rPr>
                <w:rFonts w:hint="eastAsia" w:ascii="宋体" w:hAnsi="宋体" w:cs="宋体"/>
                <w:szCs w:val="21"/>
                <w:highlight w:val="none"/>
              </w:rPr>
            </w:pPr>
            <w:r>
              <w:rPr>
                <w:rFonts w:hint="eastAsia" w:ascii="宋体" w:hAnsi="宋体" w:cs="宋体"/>
                <w:szCs w:val="21"/>
                <w:highlight w:val="none"/>
              </w:rPr>
              <w:t>投标保证金额</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C5F28CE">
            <w:pPr>
              <w:adjustRightInd w:val="0"/>
              <w:snapToGrid w:val="0"/>
              <w:spacing w:line="340" w:lineRule="exact"/>
              <w:rPr>
                <w:rFonts w:hint="eastAsia" w:ascii="宋体" w:hAnsi="宋体" w:cs="宋体"/>
                <w:szCs w:val="21"/>
                <w:highlight w:val="none"/>
              </w:rPr>
            </w:pPr>
            <w:r>
              <w:rPr>
                <w:rFonts w:hint="eastAsia" w:ascii="宋体" w:hAnsi="宋体" w:cs="宋体"/>
                <w:kern w:val="0"/>
                <w:szCs w:val="21"/>
                <w:highlight w:val="none"/>
                <w:shd w:val="clear" w:color="auto" w:fill="FFFFFF"/>
              </w:rPr>
              <w:t>/</w:t>
            </w:r>
          </w:p>
        </w:tc>
      </w:tr>
      <w:tr w14:paraId="1A2FDA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8855AC">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28</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610AF8D">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履约保证金</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0883367">
            <w:pPr>
              <w:widowControl/>
              <w:adjustRightInd w:val="0"/>
              <w:snapToGrid w:val="0"/>
              <w:spacing w:line="320" w:lineRule="exact"/>
              <w:rPr>
                <w:rFonts w:hint="eastAsia" w:ascii="宋体" w:hAnsi="宋体" w:cs="宋体"/>
                <w:szCs w:val="21"/>
                <w:highlight w:val="none"/>
              </w:rPr>
            </w:pPr>
            <w:r>
              <w:rPr>
                <w:rFonts w:hint="eastAsia" w:ascii="宋体" w:hAnsi="宋体" w:cs="宋体"/>
                <w:bCs/>
                <w:szCs w:val="21"/>
                <w:highlight w:val="none"/>
              </w:rPr>
              <w:t>/</w:t>
            </w:r>
          </w:p>
        </w:tc>
      </w:tr>
      <w:tr w14:paraId="7E64BD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31E05B53">
            <w:pPr>
              <w:adjustRightInd w:val="0"/>
              <w:snapToGrid w:val="0"/>
              <w:spacing w:line="310" w:lineRule="exact"/>
              <w:jc w:val="center"/>
              <w:rPr>
                <w:rFonts w:ascii="宋体" w:hAnsi="宋体" w:cs="宋体"/>
                <w:szCs w:val="21"/>
                <w:highlight w:val="none"/>
              </w:rPr>
            </w:pPr>
            <w:r>
              <w:rPr>
                <w:rFonts w:hint="eastAsia" w:ascii="宋体" w:hAnsi="宋体" w:cs="宋体"/>
                <w:szCs w:val="21"/>
                <w:highlight w:val="none"/>
              </w:rPr>
              <w:t>29</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C01162D">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质保期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7492CE12">
            <w:pPr>
              <w:widowControl/>
              <w:adjustRightInd w:val="0"/>
              <w:snapToGrid w:val="0"/>
              <w:spacing w:line="320" w:lineRule="exact"/>
              <w:rPr>
                <w:rFonts w:ascii="宋体" w:hAnsi="宋体" w:cs="宋体"/>
                <w:bCs/>
                <w:szCs w:val="21"/>
                <w:highlight w:val="none"/>
              </w:rPr>
            </w:pPr>
            <w:r>
              <w:rPr>
                <w:rFonts w:hint="eastAsia" w:ascii="宋体" w:hAnsi="宋体" w:cs="宋体"/>
                <w:bCs/>
                <w:szCs w:val="21"/>
                <w:highlight w:val="none"/>
              </w:rPr>
              <w:t>/</w:t>
            </w:r>
          </w:p>
        </w:tc>
      </w:tr>
      <w:tr w14:paraId="7D2248D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67AED91">
            <w:pPr>
              <w:adjustRightInd w:val="0"/>
              <w:snapToGrid w:val="0"/>
              <w:spacing w:line="310" w:lineRule="exact"/>
              <w:jc w:val="center"/>
              <w:rPr>
                <w:rFonts w:ascii="宋体" w:hAnsi="宋体" w:cs="宋体"/>
                <w:szCs w:val="21"/>
                <w:highlight w:val="none"/>
              </w:rPr>
            </w:pPr>
            <w:r>
              <w:rPr>
                <w:rFonts w:hint="eastAsia" w:ascii="宋体" w:hAnsi="宋体" w:cs="宋体"/>
                <w:szCs w:val="21"/>
                <w:highlight w:val="none"/>
              </w:rPr>
              <w:t>30</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1C3CC50">
            <w:pPr>
              <w:adjustRightInd w:val="0"/>
              <w:snapToGrid w:val="0"/>
              <w:spacing w:line="320" w:lineRule="exact"/>
              <w:rPr>
                <w:rFonts w:hint="eastAsia" w:ascii="宋体" w:hAnsi="宋体" w:cs="宋体"/>
                <w:szCs w:val="21"/>
                <w:highlight w:val="none"/>
              </w:rPr>
            </w:pPr>
            <w:r>
              <w:rPr>
                <w:rFonts w:hint="eastAsia" w:ascii="宋体" w:hAnsi="宋体" w:cs="宋体"/>
                <w:highlight w:val="none"/>
              </w:rPr>
              <w:t>采购代理费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183B542">
            <w:pPr>
              <w:autoSpaceDE w:val="0"/>
              <w:autoSpaceDN w:val="0"/>
              <w:adjustRightInd w:val="0"/>
              <w:snapToGrid w:val="0"/>
              <w:spacing w:line="360" w:lineRule="exact"/>
              <w:jc w:val="left"/>
              <w:rPr>
                <w:rFonts w:hint="eastAsia"/>
                <w:highlight w:val="none"/>
              </w:rPr>
            </w:pPr>
            <w:r>
              <w:rPr>
                <w:rFonts w:hint="eastAsia" w:ascii="宋体" w:hAnsi="宋体" w:cs="宋体"/>
                <w:highlight w:val="none"/>
              </w:rPr>
              <w:t>采购代理服务费：</w:t>
            </w:r>
            <w:r>
              <w:rPr>
                <w:rFonts w:hint="eastAsia"/>
                <w:highlight w:val="none"/>
              </w:rPr>
              <w:t>根据国家发展改革委《关于进一步放开建设项目专业服务价格的通知》（发改价格〔2015〕299号）文件精神，代理服务费收费标准参照发改价格【2011】534号文件执行，招标代理服务费由中标人（成交人）支付，服务费为成交价格的1.5%，不足3000元按3000元计取。</w:t>
            </w:r>
          </w:p>
          <w:p w14:paraId="7530AFAA">
            <w:pPr>
              <w:autoSpaceDE w:val="0"/>
              <w:autoSpaceDN w:val="0"/>
              <w:adjustRightInd w:val="0"/>
              <w:snapToGrid w:val="0"/>
              <w:spacing w:line="360" w:lineRule="exact"/>
              <w:jc w:val="left"/>
              <w:rPr>
                <w:rFonts w:hint="eastAsia"/>
                <w:highlight w:val="none"/>
              </w:rPr>
            </w:pPr>
            <w:r>
              <w:rPr>
                <w:rFonts w:hint="eastAsia"/>
                <w:highlight w:val="none"/>
              </w:rPr>
              <w:t>服务费缴纳账户：</w:t>
            </w:r>
          </w:p>
          <w:p w14:paraId="57E00FEA">
            <w:pPr>
              <w:autoSpaceDE w:val="0"/>
              <w:autoSpaceDN w:val="0"/>
              <w:adjustRightInd w:val="0"/>
              <w:snapToGrid w:val="0"/>
              <w:spacing w:line="360" w:lineRule="exact"/>
              <w:jc w:val="left"/>
              <w:rPr>
                <w:rFonts w:hint="eastAsia"/>
                <w:highlight w:val="none"/>
              </w:rPr>
            </w:pPr>
            <w:r>
              <w:rPr>
                <w:rFonts w:hint="eastAsia"/>
                <w:highlight w:val="none"/>
              </w:rPr>
              <w:t>户名：安徽大别山工程咨询有限公司</w:t>
            </w:r>
          </w:p>
          <w:p w14:paraId="72CD2E09">
            <w:pPr>
              <w:autoSpaceDE w:val="0"/>
              <w:autoSpaceDN w:val="0"/>
              <w:adjustRightInd w:val="0"/>
              <w:snapToGrid w:val="0"/>
              <w:spacing w:line="360" w:lineRule="exact"/>
              <w:jc w:val="left"/>
              <w:rPr>
                <w:rFonts w:hint="eastAsia"/>
                <w:highlight w:val="none"/>
              </w:rPr>
            </w:pPr>
            <w:r>
              <w:rPr>
                <w:rFonts w:hint="eastAsia"/>
                <w:highlight w:val="none"/>
              </w:rPr>
              <w:t>开户行：安徽霍山农村商业银行股份有限公司营业部</w:t>
            </w:r>
          </w:p>
          <w:p w14:paraId="780B928A">
            <w:pPr>
              <w:pStyle w:val="19"/>
              <w:ind w:left="0" w:firstLine="0" w:firstLineChars="0"/>
              <w:jc w:val="left"/>
              <w:rPr>
                <w:rFonts w:hint="eastAsia"/>
                <w:highlight w:val="none"/>
              </w:rPr>
            </w:pPr>
            <w:r>
              <w:rPr>
                <w:rFonts w:hint="eastAsia" w:eastAsia="宋体"/>
                <w:sz w:val="21"/>
                <w:highlight w:val="none"/>
              </w:rPr>
              <w:t>账号：20010048352066600000012</w:t>
            </w:r>
          </w:p>
        </w:tc>
      </w:tr>
      <w:tr w14:paraId="26CF35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7"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10CD405">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31</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E8C6D9D">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采购地点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7E50CDE">
            <w:pPr>
              <w:adjustRightInd w:val="0"/>
              <w:snapToGrid w:val="0"/>
              <w:spacing w:line="310" w:lineRule="exact"/>
              <w:rPr>
                <w:rFonts w:ascii="宋体" w:hAnsi="宋体" w:cs="宋体"/>
                <w:szCs w:val="21"/>
                <w:highlight w:val="none"/>
              </w:rPr>
            </w:pPr>
            <w:r>
              <w:rPr>
                <w:rFonts w:hint="eastAsia" w:ascii="宋体" w:hAnsi="宋体" w:cs="宋体"/>
                <w:kern w:val="0"/>
                <w:szCs w:val="21"/>
                <w:highlight w:val="none"/>
              </w:rPr>
              <w:t>采购人指定地点</w:t>
            </w:r>
          </w:p>
        </w:tc>
      </w:tr>
      <w:tr w14:paraId="2EF7927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A4C3A7C">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32</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1CE5B583">
            <w:pPr>
              <w:adjustRightInd w:val="0"/>
              <w:snapToGrid w:val="0"/>
              <w:spacing w:line="310" w:lineRule="exact"/>
              <w:rPr>
                <w:rFonts w:ascii="宋体" w:hAnsi="宋体" w:cs="宋体"/>
                <w:szCs w:val="21"/>
                <w:highlight w:val="none"/>
              </w:rPr>
            </w:pPr>
            <w:r>
              <w:rPr>
                <w:rFonts w:hint="eastAsia" w:ascii="宋体" w:hAnsi="宋体" w:cs="宋体"/>
                <w:szCs w:val="21"/>
                <w:highlight w:val="none"/>
              </w:rPr>
              <w:t>服务期</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5996E8F7">
            <w:pPr>
              <w:tabs>
                <w:tab w:val="left" w:pos="1980"/>
              </w:tabs>
              <w:adjustRightInd w:val="0"/>
              <w:snapToGrid w:val="0"/>
              <w:spacing w:line="310" w:lineRule="exact"/>
              <w:rPr>
                <w:rFonts w:ascii="宋体" w:hAnsi="宋体" w:cs="宋体"/>
                <w:szCs w:val="21"/>
                <w:highlight w:val="none"/>
              </w:rPr>
            </w:pPr>
            <w:r>
              <w:rPr>
                <w:rFonts w:hint="eastAsia" w:ascii="宋体" w:hAnsi="宋体" w:cs="宋体"/>
                <w:b w:val="0"/>
                <w:bCs/>
                <w:szCs w:val="21"/>
                <w:highlight w:val="none"/>
              </w:rPr>
              <w:t>服务期限为自合同签订之日起至电站通过绿色小</w:t>
            </w:r>
            <w:r>
              <w:rPr>
                <w:rFonts w:hint="eastAsia" w:ascii="宋体" w:hAnsi="宋体" w:cs="宋体"/>
                <w:b w:val="0"/>
                <w:bCs/>
                <w:szCs w:val="21"/>
                <w:highlight w:val="none"/>
                <w:lang w:val="en-US" w:eastAsia="zh-CN"/>
              </w:rPr>
              <w:t>水电</w:t>
            </w:r>
            <w:r>
              <w:rPr>
                <w:rFonts w:hint="eastAsia" w:ascii="宋体" w:hAnsi="宋体" w:cs="宋体"/>
                <w:b w:val="0"/>
                <w:bCs/>
                <w:szCs w:val="21"/>
                <w:highlight w:val="none"/>
              </w:rPr>
              <w:t>示范电站</w:t>
            </w:r>
            <w:r>
              <w:rPr>
                <w:rFonts w:hint="eastAsia" w:ascii="宋体" w:hAnsi="宋体" w:cs="宋体"/>
                <w:b w:val="0"/>
                <w:bCs/>
                <w:szCs w:val="21"/>
                <w:highlight w:val="none"/>
                <w:lang w:val="en-US" w:eastAsia="zh-CN"/>
              </w:rPr>
              <w:t>部级</w:t>
            </w:r>
            <w:r>
              <w:rPr>
                <w:rFonts w:hint="eastAsia" w:ascii="宋体" w:hAnsi="宋体" w:cs="宋体"/>
                <w:b w:val="0"/>
                <w:bCs/>
                <w:szCs w:val="21"/>
                <w:highlight w:val="none"/>
              </w:rPr>
              <w:t>审核之日止。</w:t>
            </w:r>
          </w:p>
        </w:tc>
      </w:tr>
      <w:tr w14:paraId="5901D2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78B1F1FE">
            <w:pPr>
              <w:adjustRightInd w:val="0"/>
              <w:snapToGrid w:val="0"/>
              <w:spacing w:line="310" w:lineRule="exact"/>
              <w:jc w:val="center"/>
              <w:rPr>
                <w:rFonts w:hint="eastAsia" w:ascii="宋体" w:hAnsi="宋体" w:cs="宋体"/>
                <w:szCs w:val="21"/>
                <w:highlight w:val="none"/>
              </w:rPr>
            </w:pPr>
            <w:r>
              <w:rPr>
                <w:rFonts w:hint="eastAsia" w:ascii="宋体" w:hAnsi="宋体" w:cs="宋体"/>
                <w:bCs/>
                <w:szCs w:val="21"/>
                <w:highlight w:val="none"/>
              </w:rPr>
              <w:t>33</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08CE69FA">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签订合同地点</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FD7D9B3">
            <w:pPr>
              <w:adjustRightInd w:val="0"/>
              <w:snapToGrid w:val="0"/>
              <w:spacing w:line="310" w:lineRule="exact"/>
              <w:rPr>
                <w:rFonts w:hint="eastAsia" w:ascii="宋体" w:hAnsi="宋体" w:cs="宋体"/>
                <w:szCs w:val="21"/>
                <w:highlight w:val="none"/>
              </w:rPr>
            </w:pPr>
            <w:r>
              <w:rPr>
                <w:rFonts w:hint="eastAsia" w:ascii="宋体" w:hAnsi="宋体" w:cs="宋体"/>
                <w:kern w:val="0"/>
                <w:szCs w:val="21"/>
                <w:highlight w:val="none"/>
              </w:rPr>
              <w:t>采购人指定地点</w:t>
            </w:r>
          </w:p>
        </w:tc>
      </w:tr>
      <w:tr w14:paraId="63EF80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9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1ABEAC3">
            <w:pPr>
              <w:adjustRightInd w:val="0"/>
              <w:snapToGrid w:val="0"/>
              <w:spacing w:line="310" w:lineRule="exact"/>
              <w:jc w:val="center"/>
              <w:rPr>
                <w:rFonts w:hint="eastAsia" w:ascii="宋体" w:hAnsi="宋体" w:cs="宋体"/>
                <w:bCs/>
                <w:szCs w:val="21"/>
                <w:highlight w:val="none"/>
              </w:rPr>
            </w:pPr>
            <w:r>
              <w:rPr>
                <w:rFonts w:hint="eastAsia" w:ascii="宋体" w:hAnsi="宋体" w:cs="宋体"/>
                <w:szCs w:val="21"/>
                <w:highlight w:val="none"/>
              </w:rPr>
              <w:t>34</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324FF64">
            <w:pPr>
              <w:adjustRightInd w:val="0"/>
              <w:snapToGrid w:val="0"/>
              <w:spacing w:line="310" w:lineRule="exact"/>
              <w:rPr>
                <w:rFonts w:hint="eastAsia" w:ascii="宋体" w:hAnsi="宋体" w:cs="宋体"/>
                <w:bCs/>
                <w:szCs w:val="21"/>
                <w:highlight w:val="none"/>
              </w:rPr>
            </w:pPr>
            <w:r>
              <w:rPr>
                <w:rFonts w:hint="eastAsia" w:ascii="宋体" w:hAnsi="宋体" w:cs="宋体"/>
                <w:bCs/>
                <w:szCs w:val="21"/>
                <w:highlight w:val="none"/>
              </w:rPr>
              <w:t>结算及付款方式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461136B4">
            <w:pPr>
              <w:jc w:val="left"/>
              <w:rPr>
                <w:rFonts w:ascii="宋体" w:hAnsi="宋体" w:cs="宋体"/>
                <w:b/>
                <w:szCs w:val="21"/>
                <w:highlight w:val="none"/>
                <w:u w:val="single"/>
              </w:rPr>
            </w:pPr>
            <w:r>
              <w:rPr>
                <w:rFonts w:hint="eastAsia" w:ascii="宋体" w:hAnsi="宋体" w:cs="宋体"/>
                <w:b w:val="0"/>
                <w:bCs/>
                <w:szCs w:val="21"/>
                <w:highlight w:val="none"/>
              </w:rPr>
              <w:t>本项目总费用计算以单个电</w:t>
            </w:r>
            <w:r>
              <w:rPr>
                <w:rFonts w:hint="eastAsia" w:ascii="宋体" w:hAnsi="宋体" w:cs="宋体"/>
                <w:b w:val="0"/>
                <w:bCs/>
                <w:szCs w:val="21"/>
                <w:highlight w:val="none"/>
                <w:lang w:val="en-US" w:eastAsia="zh-CN"/>
              </w:rPr>
              <w:t>站</w:t>
            </w:r>
            <w:r>
              <w:rPr>
                <w:rFonts w:hint="eastAsia" w:ascii="宋体" w:hAnsi="宋体" w:cs="宋体"/>
                <w:b w:val="0"/>
                <w:bCs/>
                <w:szCs w:val="21"/>
                <w:highlight w:val="none"/>
              </w:rPr>
              <w:t>费用（单个小水电费用为合同价与</w:t>
            </w:r>
            <w:r>
              <w:rPr>
                <w:rFonts w:hint="eastAsia" w:ascii="宋体" w:hAnsi="宋体" w:cs="宋体"/>
                <w:b w:val="0"/>
                <w:bCs/>
                <w:szCs w:val="21"/>
                <w:highlight w:val="none"/>
                <w:lang w:val="en-US" w:eastAsia="zh-CN"/>
              </w:rPr>
              <w:t>9</w:t>
            </w:r>
            <w:r>
              <w:rPr>
                <w:rFonts w:hint="eastAsia" w:ascii="宋体" w:hAnsi="宋体" w:cs="宋体"/>
                <w:b w:val="0"/>
                <w:bCs/>
                <w:szCs w:val="21"/>
                <w:highlight w:val="none"/>
              </w:rPr>
              <w:t>个小水电数量之比）为计算单元，单个电</w:t>
            </w:r>
            <w:r>
              <w:rPr>
                <w:rFonts w:hint="eastAsia" w:ascii="宋体" w:hAnsi="宋体" w:cs="宋体"/>
                <w:b w:val="0"/>
                <w:bCs/>
                <w:szCs w:val="21"/>
                <w:highlight w:val="none"/>
                <w:lang w:val="en-US" w:eastAsia="zh-CN"/>
              </w:rPr>
              <w:t>站</w:t>
            </w:r>
            <w:r>
              <w:rPr>
                <w:rFonts w:hint="eastAsia" w:ascii="宋体" w:hAnsi="宋体" w:cs="宋体"/>
                <w:b w:val="0"/>
                <w:bCs/>
                <w:szCs w:val="21"/>
                <w:highlight w:val="none"/>
              </w:rPr>
              <w:t>通过</w:t>
            </w:r>
            <w:r>
              <w:rPr>
                <w:rFonts w:hint="eastAsia"/>
                <w:highlight w:val="none"/>
                <w:lang w:val="en-US" w:eastAsia="zh-CN"/>
              </w:rPr>
              <w:t>省级初验的，按70%支付费用；</w:t>
            </w:r>
            <w:r>
              <w:rPr>
                <w:rFonts w:hint="eastAsia"/>
                <w:highlight w:val="none"/>
              </w:rPr>
              <w:t>单个电</w:t>
            </w:r>
            <w:r>
              <w:rPr>
                <w:rFonts w:hint="eastAsia"/>
                <w:highlight w:val="none"/>
                <w:lang w:val="en-US" w:eastAsia="zh-CN"/>
              </w:rPr>
              <w:t>站</w:t>
            </w:r>
            <w:r>
              <w:rPr>
                <w:rFonts w:hint="eastAsia"/>
                <w:highlight w:val="none"/>
              </w:rPr>
              <w:t>通过</w:t>
            </w:r>
            <w:r>
              <w:rPr>
                <w:rFonts w:hint="eastAsia" w:ascii="宋体" w:hAnsi="宋体" w:cs="宋体"/>
                <w:b w:val="0"/>
                <w:bCs/>
                <w:szCs w:val="21"/>
                <w:highlight w:val="none"/>
                <w:lang w:val="en-US" w:eastAsia="zh-CN"/>
              </w:rPr>
              <w:t>部级审核的</w:t>
            </w:r>
            <w:r>
              <w:rPr>
                <w:rFonts w:hint="eastAsia" w:ascii="宋体" w:hAnsi="宋体" w:cs="宋体"/>
                <w:b w:val="0"/>
                <w:bCs/>
                <w:szCs w:val="21"/>
                <w:highlight w:val="none"/>
              </w:rPr>
              <w:t>，按100%支付费用。</w:t>
            </w:r>
          </w:p>
        </w:tc>
      </w:tr>
      <w:tr w14:paraId="0CC0E8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18599B5E">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35</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42C27A62">
            <w:pPr>
              <w:adjustRightInd w:val="0"/>
              <w:snapToGrid w:val="0"/>
              <w:spacing w:line="310" w:lineRule="exact"/>
              <w:rPr>
                <w:rFonts w:hint="eastAsia" w:ascii="宋体" w:hAnsi="宋体" w:cs="宋体"/>
                <w:szCs w:val="21"/>
                <w:highlight w:val="none"/>
              </w:rPr>
            </w:pPr>
            <w:r>
              <w:rPr>
                <w:rFonts w:hint="eastAsia" w:ascii="宋体" w:hAnsi="宋体" w:cs="宋体"/>
                <w:szCs w:val="21"/>
                <w:highlight w:val="none"/>
              </w:rPr>
              <w:t>竞争谈判文件发售方式</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2BC4CDB5">
            <w:pPr>
              <w:adjustRightInd w:val="0"/>
              <w:snapToGrid w:val="0"/>
              <w:spacing w:line="310" w:lineRule="exact"/>
              <w:jc w:val="left"/>
              <w:rPr>
                <w:rFonts w:hint="eastAsia" w:ascii="宋体" w:hAnsi="宋体" w:cs="宋体"/>
                <w:highlight w:val="none"/>
              </w:rPr>
            </w:pPr>
            <w:r>
              <w:rPr>
                <w:rFonts w:hint="eastAsia" w:ascii="宋体" w:hAnsi="宋体"/>
                <w:highlight w:val="none"/>
              </w:rPr>
              <w:t>详见谈判公告</w:t>
            </w:r>
          </w:p>
        </w:tc>
      </w:tr>
      <w:tr w14:paraId="2846D3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5" w:hRule="atLeast"/>
          <w:jc w:val="center"/>
        </w:trPr>
        <w:tc>
          <w:tcPr>
            <w:tcW w:w="767" w:type="dxa"/>
            <w:tcBorders>
              <w:top w:val="single" w:color="auto" w:sz="4" w:space="0"/>
              <w:left w:val="single" w:color="auto" w:sz="4" w:space="0"/>
              <w:bottom w:val="single" w:color="auto" w:sz="4" w:space="0"/>
              <w:right w:val="single" w:color="auto" w:sz="4" w:space="0"/>
            </w:tcBorders>
            <w:noWrap w:val="0"/>
            <w:vAlign w:val="center"/>
          </w:tcPr>
          <w:p w14:paraId="02B22D6F">
            <w:pPr>
              <w:adjustRightInd w:val="0"/>
              <w:snapToGrid w:val="0"/>
              <w:spacing w:line="310" w:lineRule="exact"/>
              <w:jc w:val="center"/>
              <w:rPr>
                <w:rFonts w:hint="eastAsia" w:ascii="宋体" w:hAnsi="宋体" w:cs="宋体"/>
                <w:szCs w:val="21"/>
                <w:highlight w:val="none"/>
              </w:rPr>
            </w:pPr>
            <w:r>
              <w:rPr>
                <w:rFonts w:hint="eastAsia" w:ascii="宋体" w:hAnsi="宋体" w:cs="宋体"/>
                <w:szCs w:val="21"/>
                <w:highlight w:val="none"/>
              </w:rPr>
              <w:t>36</w:t>
            </w:r>
          </w:p>
        </w:tc>
        <w:tc>
          <w:tcPr>
            <w:tcW w:w="2190" w:type="dxa"/>
            <w:tcBorders>
              <w:top w:val="single" w:color="auto" w:sz="4" w:space="0"/>
              <w:left w:val="single" w:color="auto" w:sz="4" w:space="0"/>
              <w:bottom w:val="single" w:color="auto" w:sz="4" w:space="0"/>
              <w:right w:val="single" w:color="auto" w:sz="4" w:space="0"/>
            </w:tcBorders>
            <w:noWrap w:val="0"/>
            <w:vAlign w:val="center"/>
          </w:tcPr>
          <w:p w14:paraId="3C299D86">
            <w:pPr>
              <w:adjustRightInd w:val="0"/>
              <w:snapToGrid w:val="0"/>
              <w:spacing w:line="310" w:lineRule="exact"/>
              <w:rPr>
                <w:rFonts w:hint="eastAsia" w:ascii="宋体" w:hAnsi="宋体" w:cs="宋体"/>
                <w:b w:val="0"/>
                <w:bCs w:val="0"/>
                <w:szCs w:val="21"/>
                <w:highlight w:val="none"/>
              </w:rPr>
            </w:pPr>
            <w:r>
              <w:rPr>
                <w:rFonts w:hint="eastAsia" w:ascii="宋体" w:hAnsi="宋体" w:cs="宋体"/>
                <w:b w:val="0"/>
                <w:bCs w:val="0"/>
                <w:szCs w:val="21"/>
                <w:highlight w:val="none"/>
              </w:rPr>
              <w:t>最高限价</w:t>
            </w:r>
          </w:p>
        </w:tc>
        <w:tc>
          <w:tcPr>
            <w:tcW w:w="7090" w:type="dxa"/>
            <w:tcBorders>
              <w:top w:val="single" w:color="auto" w:sz="4" w:space="0"/>
              <w:left w:val="single" w:color="auto" w:sz="4" w:space="0"/>
              <w:bottom w:val="single" w:color="auto" w:sz="4" w:space="0"/>
              <w:right w:val="single" w:color="auto" w:sz="4" w:space="0"/>
            </w:tcBorders>
            <w:noWrap w:val="0"/>
            <w:vAlign w:val="center"/>
          </w:tcPr>
          <w:p w14:paraId="1D8D916F">
            <w:pPr>
              <w:adjustRightInd w:val="0"/>
              <w:snapToGrid w:val="0"/>
              <w:spacing w:line="310" w:lineRule="exact"/>
              <w:jc w:val="left"/>
              <w:rPr>
                <w:rFonts w:hint="eastAsia" w:ascii="宋体" w:hAnsi="宋体" w:cs="宋体"/>
                <w:b w:val="0"/>
                <w:bCs w:val="0"/>
                <w:szCs w:val="21"/>
                <w:highlight w:val="none"/>
              </w:rPr>
            </w:pPr>
            <w:r>
              <w:rPr>
                <w:rFonts w:hint="eastAsia" w:ascii="宋体" w:hAnsi="宋体" w:cs="宋体"/>
                <w:b w:val="0"/>
                <w:bCs w:val="0"/>
                <w:szCs w:val="21"/>
                <w:highlight w:val="none"/>
                <w:lang w:val="en-US" w:eastAsia="zh-CN"/>
              </w:rPr>
              <w:t>大写：陆拾万元整</w:t>
            </w:r>
            <w:r>
              <w:rPr>
                <w:rFonts w:hint="eastAsia" w:ascii="宋体" w:hAnsi="宋体" w:cs="宋体"/>
                <w:b w:val="0"/>
                <w:bCs w:val="0"/>
                <w:szCs w:val="21"/>
                <w:highlight w:val="none"/>
              </w:rPr>
              <w:t>（小写：￥</w:t>
            </w:r>
            <w:r>
              <w:rPr>
                <w:rFonts w:hint="eastAsia" w:ascii="宋体" w:hAnsi="宋体" w:cs="宋体"/>
                <w:b w:val="0"/>
                <w:bCs w:val="0"/>
                <w:szCs w:val="21"/>
                <w:highlight w:val="none"/>
                <w:lang w:val="en-US" w:eastAsia="zh-CN"/>
              </w:rPr>
              <w:t>600000.00</w:t>
            </w:r>
            <w:r>
              <w:rPr>
                <w:rFonts w:hint="eastAsia" w:ascii="宋体" w:hAnsi="宋体" w:cs="宋体"/>
                <w:b w:val="0"/>
                <w:bCs w:val="0"/>
                <w:szCs w:val="21"/>
                <w:highlight w:val="none"/>
              </w:rPr>
              <w:t>元），超过此限价的报价为无效响应。</w:t>
            </w:r>
          </w:p>
        </w:tc>
      </w:tr>
      <w:tr w14:paraId="551F21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5" w:hRule="atLeast"/>
          <w:jc w:val="center"/>
        </w:trPr>
        <w:tc>
          <w:tcPr>
            <w:tcW w:w="10047" w:type="dxa"/>
            <w:gridSpan w:val="3"/>
            <w:tcBorders>
              <w:top w:val="single" w:color="auto" w:sz="4" w:space="0"/>
              <w:left w:val="single" w:color="auto" w:sz="4" w:space="0"/>
              <w:bottom w:val="single" w:color="auto" w:sz="4" w:space="0"/>
              <w:right w:val="single" w:color="auto" w:sz="4" w:space="0"/>
            </w:tcBorders>
            <w:noWrap w:val="0"/>
            <w:vAlign w:val="center"/>
          </w:tcPr>
          <w:p w14:paraId="73A2416A">
            <w:pPr>
              <w:pStyle w:val="19"/>
              <w:ind w:left="0" w:firstLine="0" w:firstLineChars="0"/>
              <w:rPr>
                <w:rFonts w:hint="eastAsia" w:ascii="宋体" w:hAnsi="宋体" w:eastAsia="宋体" w:cs="宋体"/>
                <w:bCs/>
                <w:sz w:val="21"/>
                <w:szCs w:val="21"/>
                <w:highlight w:val="none"/>
              </w:rPr>
            </w:pPr>
            <w:r>
              <w:rPr>
                <w:rFonts w:hint="eastAsia" w:ascii="宋体" w:hAnsi="宋体" w:eastAsia="宋体" w:cs="宋体"/>
                <w:b/>
                <w:sz w:val="21"/>
                <w:szCs w:val="21"/>
                <w:highlight w:val="none"/>
              </w:rPr>
              <w:t>备注</w:t>
            </w:r>
            <w:r>
              <w:rPr>
                <w:rFonts w:hint="eastAsia" w:ascii="宋体" w:hAnsi="宋体" w:eastAsia="宋体" w:cs="宋体"/>
                <w:bCs/>
                <w:sz w:val="21"/>
                <w:szCs w:val="21"/>
                <w:highlight w:val="none"/>
              </w:rPr>
              <w:t>：</w:t>
            </w:r>
          </w:p>
          <w:p w14:paraId="7B212781">
            <w:pPr>
              <w:pStyle w:val="19"/>
              <w:numPr>
                <w:ilvl w:val="0"/>
                <w:numId w:val="0"/>
              </w:numPr>
              <w:ind w:left="0" w:leftChars="0" w:firstLine="0" w:firstLineChars="0"/>
              <w:rPr>
                <w:rFonts w:hint="eastAsia" w:ascii="宋体" w:hAnsi="宋体" w:eastAsia="宋体" w:cs="宋体"/>
                <w:bCs/>
                <w:sz w:val="21"/>
                <w:szCs w:val="21"/>
                <w:highlight w:val="none"/>
              </w:rPr>
            </w:pPr>
            <w:r>
              <w:rPr>
                <w:rFonts w:hint="eastAsia" w:ascii="宋体" w:hAnsi="宋体" w:eastAsia="宋体" w:cs="宋体"/>
                <w:bCs/>
                <w:kern w:val="2"/>
                <w:sz w:val="21"/>
                <w:szCs w:val="21"/>
                <w:highlight w:val="none"/>
                <w:lang w:val="en-US" w:eastAsia="zh-CN" w:bidi="ar-SA"/>
              </w:rPr>
              <w:t>1、</w:t>
            </w:r>
            <w:r>
              <w:rPr>
                <w:rFonts w:hint="eastAsia" w:ascii="宋体" w:hAnsi="宋体" w:eastAsia="宋体" w:cs="宋体"/>
                <w:bCs/>
                <w:sz w:val="21"/>
                <w:szCs w:val="21"/>
                <w:highlight w:val="none"/>
                <w:lang w:eastAsia="zh-CN"/>
              </w:rPr>
              <w:t>供应商</w:t>
            </w:r>
            <w:r>
              <w:rPr>
                <w:rFonts w:hint="eastAsia" w:ascii="宋体" w:hAnsi="宋体" w:eastAsia="宋体" w:cs="宋体"/>
                <w:bCs/>
                <w:sz w:val="21"/>
                <w:szCs w:val="21"/>
                <w:highlight w:val="none"/>
              </w:rPr>
              <w:t>在响应文件递交截止时间内收到的响应文件不足2家的，或评审过程中造成流标现象的，其响应文件也不予退还给</w:t>
            </w:r>
            <w:r>
              <w:rPr>
                <w:rFonts w:hint="eastAsia" w:ascii="宋体" w:hAnsi="宋体" w:eastAsia="宋体" w:cs="宋体"/>
                <w:bCs/>
                <w:sz w:val="21"/>
                <w:szCs w:val="21"/>
                <w:highlight w:val="none"/>
                <w:lang w:eastAsia="zh-CN"/>
              </w:rPr>
              <w:t>供应商</w:t>
            </w:r>
            <w:r>
              <w:rPr>
                <w:rFonts w:hint="eastAsia" w:ascii="宋体" w:hAnsi="宋体" w:eastAsia="宋体" w:cs="宋体"/>
                <w:bCs/>
                <w:sz w:val="21"/>
                <w:szCs w:val="21"/>
                <w:highlight w:val="none"/>
              </w:rPr>
              <w:t>。</w:t>
            </w:r>
          </w:p>
          <w:p w14:paraId="3D6FACA7">
            <w:pPr>
              <w:numPr>
                <w:ilvl w:val="0"/>
                <w:numId w:val="0"/>
              </w:numPr>
              <w:rPr>
                <w:highlight w:val="none"/>
              </w:rPr>
            </w:pPr>
            <w:r>
              <w:rPr>
                <w:kern w:val="2"/>
                <w:sz w:val="21"/>
                <w:highlight w:val="none"/>
                <w:lang w:val="en-US" w:eastAsia="zh-CN" w:bidi="ar-SA"/>
              </w:rPr>
              <w:t>2、</w:t>
            </w:r>
            <w:r>
              <w:rPr>
                <w:rFonts w:hint="eastAsia"/>
                <w:highlight w:val="none"/>
                <w:lang w:val="en-US" w:eastAsia="zh-CN"/>
              </w:rPr>
              <w:t>供应商须为本项目提供6%增值税专用发票。</w:t>
            </w:r>
          </w:p>
        </w:tc>
      </w:tr>
    </w:tbl>
    <w:p w14:paraId="24D52F1B">
      <w:pPr>
        <w:adjustRightInd w:val="0"/>
        <w:snapToGrid w:val="0"/>
        <w:spacing w:line="380" w:lineRule="exact"/>
        <w:rPr>
          <w:rFonts w:hint="eastAsia" w:ascii="宋体" w:hAnsi="宋体" w:cs="宋体"/>
          <w:sz w:val="24"/>
          <w:szCs w:val="24"/>
          <w:highlight w:val="none"/>
        </w:rPr>
      </w:pPr>
      <w:bookmarkStart w:id="4" w:name="_Toc228155793"/>
      <w:bookmarkStart w:id="5" w:name="OLE_LINK4"/>
      <w:bookmarkStart w:id="6" w:name="OLE_LINK3"/>
      <w:bookmarkStart w:id="7" w:name="_Toc163036384"/>
    </w:p>
    <w:p w14:paraId="552F439E">
      <w:pPr>
        <w:rPr>
          <w:rFonts w:hint="eastAsia"/>
          <w:highlight w:val="none"/>
        </w:rPr>
      </w:pPr>
    </w:p>
    <w:p w14:paraId="6F1C73AD">
      <w:pPr>
        <w:pStyle w:val="4"/>
        <w:adjustRightInd w:val="0"/>
        <w:snapToGrid w:val="0"/>
        <w:spacing w:before="0" w:after="0" w:line="440" w:lineRule="exact"/>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二、</w:t>
      </w:r>
      <w:bookmarkEnd w:id="4"/>
      <w:r>
        <w:rPr>
          <w:rFonts w:hint="eastAsia" w:ascii="宋体" w:hAnsi="宋体" w:eastAsia="宋体" w:cs="宋体"/>
          <w:sz w:val="21"/>
          <w:szCs w:val="21"/>
          <w:highlight w:val="none"/>
          <w:lang w:val="zh-CN" w:eastAsia="zh-CN"/>
        </w:rPr>
        <w:t>供应商须知</w:t>
      </w:r>
    </w:p>
    <w:p w14:paraId="78FF231C">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1、适用范围：本竞争谈判文件仅适用于本竞争谈判文件所述的服务项目招标。</w:t>
      </w:r>
    </w:p>
    <w:p w14:paraId="5D01A004">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2、合格的供应商：合格的供应商应符合本竞争谈判文件载明的谈判</w:t>
      </w:r>
      <w:r>
        <w:rPr>
          <w:rFonts w:hint="eastAsia"/>
          <w:highlight w:val="none"/>
        </w:rPr>
        <w:t>供应商资</w:t>
      </w:r>
      <w:r>
        <w:rPr>
          <w:rFonts w:hint="eastAsia" w:ascii="宋体" w:hAnsi="宋体" w:cs="宋体"/>
          <w:szCs w:val="21"/>
          <w:highlight w:val="none"/>
        </w:rPr>
        <w:t>格。</w:t>
      </w:r>
    </w:p>
    <w:p w14:paraId="114D37E8">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szCs w:val="21"/>
          <w:highlight w:val="none"/>
          <w:lang w:val="zh-CN"/>
        </w:rPr>
        <w:t>谈判报价：谈判报价为供应商在竞争谈判文件中提出的各项支付金额的总和。包括本次谈判全部内容及人员工资、材料费、工具费、税费等所发生的所有费用</w:t>
      </w:r>
      <w:r>
        <w:rPr>
          <w:rFonts w:hint="eastAsia" w:ascii="宋体" w:hAnsi="宋体" w:cs="宋体"/>
          <w:szCs w:val="21"/>
          <w:highlight w:val="none"/>
        </w:rPr>
        <w:t>等。谈判供应商不得递交两份或多份内容不同的谈判响应文件，或在一份谈判响应文件中对同一谈判项目报有两个或多个报价，且未声明哪一个有效（按竞争谈判文件规定提交谈判替代方案的除外），否则将被判定为无效谈判。</w:t>
      </w:r>
    </w:p>
    <w:p w14:paraId="1749F9EC">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4、谈判费用：谈判供应商应承担其编制谈判响应文件以及递交谈判响应文件所涉及的一切费用，无论谈判结果如何，采购单位对上述费用不负任何责任。</w:t>
      </w:r>
    </w:p>
    <w:p w14:paraId="6167D4FA">
      <w:pPr>
        <w:adjustRightInd w:val="0"/>
        <w:snapToGrid w:val="0"/>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5、谈判有效期：</w:t>
      </w:r>
      <w:r>
        <w:rPr>
          <w:rFonts w:hint="eastAsia" w:ascii="宋体" w:hAnsi="宋体" w:cs="宋体"/>
          <w:kern w:val="0"/>
          <w:szCs w:val="21"/>
          <w:highlight w:val="none"/>
        </w:rPr>
        <w:t>见供应商须知前附表</w:t>
      </w:r>
      <w:r>
        <w:rPr>
          <w:rFonts w:hint="eastAsia" w:ascii="宋体" w:hAnsi="宋体" w:cs="宋体"/>
          <w:bCs/>
          <w:szCs w:val="21"/>
          <w:highlight w:val="none"/>
        </w:rPr>
        <w:t>。</w:t>
      </w:r>
    </w:p>
    <w:p w14:paraId="6DD8B73F">
      <w:pPr>
        <w:adjustRightInd w:val="0"/>
        <w:snapToGrid w:val="0"/>
        <w:spacing w:line="440" w:lineRule="exact"/>
        <w:ind w:firstLine="432" w:firstLineChars="206"/>
        <w:rPr>
          <w:rFonts w:hint="eastAsia" w:ascii="宋体" w:hAnsi="宋体" w:cs="宋体"/>
          <w:szCs w:val="21"/>
          <w:highlight w:val="none"/>
        </w:rPr>
      </w:pPr>
      <w:r>
        <w:rPr>
          <w:rFonts w:hint="eastAsia" w:ascii="宋体" w:hAnsi="宋体" w:cs="宋体"/>
          <w:szCs w:val="21"/>
          <w:highlight w:val="none"/>
        </w:rPr>
        <w:t>6、供应商应确保所提供的谈判资料的真实性、有效性及合法性，否则，由此引起的被废标等任何责任由其自行承担。</w:t>
      </w:r>
    </w:p>
    <w:p w14:paraId="770D5DFB">
      <w:pPr>
        <w:adjustRightInd w:val="0"/>
        <w:snapToGrid w:val="0"/>
        <w:spacing w:line="440" w:lineRule="exact"/>
        <w:ind w:firstLine="432" w:firstLineChars="206"/>
        <w:rPr>
          <w:rFonts w:ascii="宋体" w:hAnsi="宋体" w:cs="宋体"/>
          <w:szCs w:val="21"/>
          <w:highlight w:val="none"/>
        </w:rPr>
      </w:pPr>
      <w:r>
        <w:rPr>
          <w:rFonts w:hint="eastAsia" w:ascii="宋体" w:hAnsi="宋体" w:cs="宋体"/>
          <w:szCs w:val="21"/>
          <w:highlight w:val="none"/>
        </w:rPr>
        <w:t>7、为保证招谈判活动顺利进行，供应商应派相关技术人员进行现场答疑，授权代表必须到达谈判现场。</w:t>
      </w:r>
    </w:p>
    <w:p w14:paraId="7DBC726B">
      <w:pPr>
        <w:adjustRightInd w:val="0"/>
        <w:snapToGrid w:val="0"/>
        <w:spacing w:line="440" w:lineRule="exact"/>
        <w:ind w:firstLine="432" w:firstLineChars="206"/>
        <w:rPr>
          <w:rFonts w:hint="eastAsia" w:ascii="宋体" w:hAnsi="宋体" w:cs="宋体"/>
          <w:bCs/>
          <w:szCs w:val="21"/>
          <w:highlight w:val="none"/>
        </w:rPr>
      </w:pPr>
      <w:r>
        <w:rPr>
          <w:rFonts w:hint="eastAsia" w:ascii="宋体" w:hAnsi="宋体" w:cs="宋体"/>
          <w:bCs/>
          <w:szCs w:val="21"/>
          <w:highlight w:val="none"/>
        </w:rPr>
        <w:t>8、如果谈判小组认为有必要，可要求供应商在指定时间内提交谈判响应文件的补充资料或证明材料。指定时间内未能提交或提交不全，做无效标处理。</w:t>
      </w:r>
    </w:p>
    <w:p w14:paraId="16E695B4">
      <w:pPr>
        <w:adjustRightInd w:val="0"/>
        <w:snapToGrid w:val="0"/>
        <w:spacing w:line="440" w:lineRule="exact"/>
        <w:ind w:firstLine="432" w:firstLineChars="206"/>
        <w:rPr>
          <w:rFonts w:hint="eastAsia" w:ascii="宋体" w:hAnsi="宋体" w:cs="宋体"/>
          <w:bCs/>
          <w:szCs w:val="21"/>
          <w:highlight w:val="none"/>
        </w:rPr>
      </w:pPr>
      <w:r>
        <w:rPr>
          <w:rFonts w:hint="eastAsia" w:ascii="宋体" w:hAnsi="宋体" w:cs="宋体"/>
          <w:bCs/>
          <w:szCs w:val="21"/>
          <w:highlight w:val="none"/>
        </w:rPr>
        <w:t>9、竞争谈判文件中如果提供参考商标或品牌，仅作为说明并没有限制性。供应商在谈判中若选用替代商标或品牌，应优于或相当于参考商标或品牌，否则谈判小组有权拒绝其谈判。</w:t>
      </w:r>
    </w:p>
    <w:p w14:paraId="5C228288">
      <w:pPr>
        <w:adjustRightInd w:val="0"/>
        <w:snapToGrid w:val="0"/>
        <w:spacing w:line="440" w:lineRule="exact"/>
        <w:ind w:firstLine="432" w:firstLineChars="206"/>
        <w:rPr>
          <w:rFonts w:hint="eastAsia" w:ascii="宋体" w:hAnsi="宋体" w:cs="宋体"/>
          <w:bCs/>
          <w:szCs w:val="21"/>
          <w:highlight w:val="none"/>
        </w:rPr>
      </w:pPr>
      <w:r>
        <w:rPr>
          <w:rFonts w:hint="eastAsia" w:ascii="宋体" w:hAnsi="宋体" w:cs="宋体"/>
          <w:bCs/>
          <w:szCs w:val="21"/>
          <w:highlight w:val="none"/>
        </w:rPr>
        <w:t>10、供应商必须保证，采购人在中华人民共和国境内使用谈判货物、资料、技术、服务或其任何一部分时，享有不受限制的无偿使用权，不会产生因第三方提出侵犯其专利权、商标权或其它知识产权而引起的法律或经济纠纷。如供应商不拥有相应的知识产权，则在谈判报价中必须包括合法获取该知识产权的一切相关费用。</w:t>
      </w:r>
    </w:p>
    <w:p w14:paraId="25EE5EFA">
      <w:pPr>
        <w:adjustRightInd w:val="0"/>
        <w:snapToGrid w:val="0"/>
        <w:spacing w:line="440" w:lineRule="exact"/>
        <w:ind w:firstLine="411" w:firstLineChars="196"/>
        <w:rPr>
          <w:rFonts w:hint="eastAsia" w:ascii="宋体" w:hAnsi="宋体" w:cs="宋体"/>
          <w:szCs w:val="21"/>
          <w:highlight w:val="none"/>
        </w:rPr>
      </w:pPr>
      <w:r>
        <w:rPr>
          <w:rFonts w:hint="eastAsia" w:ascii="宋体" w:hAnsi="宋体" w:cs="宋体"/>
          <w:bCs/>
          <w:szCs w:val="21"/>
          <w:highlight w:val="none"/>
        </w:rPr>
        <w:t>11、</w:t>
      </w:r>
      <w:r>
        <w:rPr>
          <w:rFonts w:hint="eastAsia" w:ascii="宋体" w:hAnsi="宋体" w:cs="宋体"/>
          <w:szCs w:val="21"/>
          <w:highlight w:val="none"/>
        </w:rPr>
        <w:t>本项目不接受联合体。</w:t>
      </w:r>
    </w:p>
    <w:p w14:paraId="0F7A4C51">
      <w:pPr>
        <w:adjustRightInd w:val="0"/>
        <w:snapToGrid w:val="0"/>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12、</w:t>
      </w:r>
      <w:r>
        <w:rPr>
          <w:rFonts w:hint="eastAsia" w:ascii="宋体" w:hAnsi="宋体" w:cs="宋体"/>
          <w:szCs w:val="21"/>
          <w:highlight w:val="none"/>
        </w:rPr>
        <w:t>本项目谈判报价采用的币种为</w:t>
      </w:r>
      <w:r>
        <w:rPr>
          <w:rFonts w:hint="eastAsia" w:ascii="宋体" w:hAnsi="宋体" w:cs="宋体"/>
          <w:szCs w:val="21"/>
          <w:highlight w:val="none"/>
          <w:u w:val="single"/>
        </w:rPr>
        <w:t xml:space="preserve"> 人民币 </w:t>
      </w:r>
      <w:r>
        <w:rPr>
          <w:rFonts w:hint="eastAsia" w:ascii="宋体" w:hAnsi="宋体" w:cs="宋体"/>
          <w:szCs w:val="21"/>
          <w:highlight w:val="none"/>
        </w:rPr>
        <w:t>。</w:t>
      </w:r>
    </w:p>
    <w:p w14:paraId="50E94021">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13、谈判响应文件和与谈判有关的所有文件均应使用</w:t>
      </w:r>
      <w:r>
        <w:rPr>
          <w:rFonts w:hint="eastAsia" w:ascii="宋体" w:hAnsi="宋体" w:cs="宋体"/>
          <w:szCs w:val="21"/>
          <w:highlight w:val="none"/>
          <w:u w:val="single"/>
          <w:lang w:val="en-US" w:eastAsia="zh-CN"/>
        </w:rPr>
        <w:t xml:space="preserve"> </w:t>
      </w:r>
      <w:r>
        <w:rPr>
          <w:rFonts w:hint="eastAsia" w:ascii="宋体" w:hAnsi="宋体" w:cs="宋体"/>
          <w:szCs w:val="21"/>
          <w:highlight w:val="none"/>
          <w:u w:val="single"/>
        </w:rPr>
        <w:t>汉 语</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w:t>
      </w:r>
    </w:p>
    <w:p w14:paraId="1859FFB8">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14、除另有规定外，谈判响应文件使用的度量衡单位，均采用</w:t>
      </w:r>
      <w:r>
        <w:rPr>
          <w:rFonts w:hint="eastAsia" w:ascii="宋体" w:hAnsi="宋体" w:cs="宋体"/>
          <w:szCs w:val="21"/>
          <w:highlight w:val="none"/>
          <w:u w:val="single"/>
        </w:rPr>
        <w:t>中华人民共和国法定</w:t>
      </w:r>
      <w:r>
        <w:rPr>
          <w:rFonts w:hint="eastAsia" w:ascii="宋体" w:hAnsi="宋体" w:cs="宋体"/>
          <w:szCs w:val="21"/>
          <w:highlight w:val="none"/>
        </w:rPr>
        <w:t>计量单位。</w:t>
      </w:r>
    </w:p>
    <w:p w14:paraId="63C03EA3">
      <w:pPr>
        <w:adjustRightInd w:val="0"/>
        <w:snapToGrid w:val="0"/>
        <w:spacing w:line="440" w:lineRule="exact"/>
        <w:ind w:firstLine="432" w:firstLineChars="206"/>
        <w:rPr>
          <w:rFonts w:hint="eastAsia" w:ascii="宋体" w:hAnsi="宋体" w:cs="宋体"/>
          <w:bCs/>
          <w:szCs w:val="21"/>
          <w:highlight w:val="none"/>
        </w:rPr>
      </w:pPr>
      <w:r>
        <w:rPr>
          <w:rFonts w:hint="eastAsia" w:ascii="宋体" w:hAnsi="宋体" w:cs="宋体"/>
          <w:bCs/>
          <w:szCs w:val="21"/>
          <w:highlight w:val="none"/>
        </w:rPr>
        <w:t>15、本公司一律不予退还供应商的谈判响应文件。</w:t>
      </w:r>
    </w:p>
    <w:p w14:paraId="73BD6EDF">
      <w:pPr>
        <w:adjustRightInd w:val="0"/>
        <w:snapToGrid w:val="0"/>
        <w:spacing w:line="440" w:lineRule="exact"/>
        <w:ind w:firstLine="434" w:firstLineChars="206"/>
        <w:rPr>
          <w:rFonts w:hint="eastAsia" w:ascii="宋体" w:hAnsi="宋体" w:cs="宋体"/>
          <w:b/>
          <w:szCs w:val="21"/>
          <w:highlight w:val="none"/>
        </w:rPr>
      </w:pPr>
      <w:r>
        <w:rPr>
          <w:rFonts w:hint="eastAsia" w:ascii="宋体" w:hAnsi="宋体" w:cs="宋体"/>
          <w:b/>
          <w:szCs w:val="21"/>
          <w:highlight w:val="none"/>
        </w:rPr>
        <w:t>16、与本次招标活动相关的信息，将在安徽霍山国有资产投资控股集团有限公司（http://ahdmig.cn/）上及时发布。供应商对本须知如有不清楚之处，请在递交竞争谈判文件截止时间2天前，以书面形式告知采购人或安徽大别山工程咨询有限公司并说明原因，逾期不予受理。</w:t>
      </w:r>
    </w:p>
    <w:p w14:paraId="6552F172">
      <w:pPr>
        <w:adjustRightInd w:val="0"/>
        <w:snapToGrid w:val="0"/>
        <w:spacing w:line="440" w:lineRule="exact"/>
        <w:ind w:firstLine="432" w:firstLineChars="206"/>
        <w:rPr>
          <w:rFonts w:hint="eastAsia" w:ascii="宋体" w:hAnsi="宋体" w:cs="宋体"/>
          <w:b/>
          <w:bCs/>
          <w:sz w:val="24"/>
          <w:szCs w:val="24"/>
          <w:highlight w:val="none"/>
        </w:rPr>
      </w:pPr>
      <w:r>
        <w:rPr>
          <w:rFonts w:hint="eastAsia" w:ascii="宋体" w:hAnsi="宋体" w:cs="宋体"/>
          <w:bCs/>
          <w:szCs w:val="21"/>
          <w:highlight w:val="none"/>
        </w:rPr>
        <w:t>17、本竞争谈判文件的解释权属于采购人和安徽大别山工程咨询有限公司。</w:t>
      </w:r>
    </w:p>
    <w:bookmarkEnd w:id="5"/>
    <w:bookmarkEnd w:id="6"/>
    <w:bookmarkEnd w:id="7"/>
    <w:p w14:paraId="37C8AD0B">
      <w:pPr>
        <w:pStyle w:val="4"/>
        <w:adjustRightInd w:val="0"/>
        <w:snapToGrid w:val="0"/>
        <w:spacing w:before="0" w:after="0" w:line="440" w:lineRule="exact"/>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en-US" w:eastAsia="zh-CN"/>
        </w:rPr>
        <w:t>三、</w:t>
      </w:r>
      <w:r>
        <w:rPr>
          <w:rFonts w:hint="eastAsia" w:ascii="宋体" w:hAnsi="宋体" w:eastAsia="宋体" w:cs="宋体"/>
          <w:sz w:val="21"/>
          <w:szCs w:val="21"/>
          <w:highlight w:val="none"/>
          <w:lang w:val="zh-CN" w:eastAsia="zh-CN"/>
        </w:rPr>
        <w:t>竞争谈判文件内容、澄清及修改</w:t>
      </w:r>
    </w:p>
    <w:p w14:paraId="0800F26B">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1、竞争谈判文件的组成</w:t>
      </w:r>
    </w:p>
    <w:p w14:paraId="3D8CC4FE">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（1）竞争谈判文件包括本章第3条发出的修改澄清通知。</w:t>
      </w:r>
    </w:p>
    <w:p w14:paraId="09DDC80A">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（2）供应商应认真审阅竞争谈判文件所有的内容，如果供应商的谈判响应文件不能实质性地响应竞争谈判文件要求，将作废标处理。</w:t>
      </w:r>
    </w:p>
    <w:p w14:paraId="22FB33B7">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2、竞争谈判文件的澄清</w:t>
      </w:r>
    </w:p>
    <w:p w14:paraId="2415B67C">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要求澄清竞争谈判文件的供应商，最迟应在谈判截止日期前2天以书面或传真的方式向采购人提出要求澄清的问题。采购人在不迟于谈判截止日前1天以书面形式予以解答，此书面答复（包括对询问的解释，但不说明询问来源）将以补充书面文件形式在安徽霍山国有资产投资控股集团有限公司（http://ahdmig.cn/）上及时发布，由此而产生的对竞争谈判文件内容的修改，将均在网上发布。</w:t>
      </w:r>
    </w:p>
    <w:p w14:paraId="10C7BBA9">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供应商对采购人提供的竞争谈判文件所做的推证、解释和结论，采购人概不负责，供应商由于对竞争谈判文件的任何推证和误解以及竞争谈判文件对有关问题的口头解释所造成的后果，均由供应商自负。供应商应认真检查竞争谈判文件是否齐全，如有遗漏，请于3日内向本公司索取，否则责任自负。</w:t>
      </w:r>
    </w:p>
    <w:p w14:paraId="23272979">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3、竞争谈判文件的修改</w:t>
      </w:r>
    </w:p>
    <w:p w14:paraId="73D8F116">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（1）在谈判截止日期1天前，采购人可以以网站发布更正通知的方式修改竞争谈判文件，修改通知作为竞争谈判文件的组成部分，对供应商有同等约束作用。</w:t>
      </w:r>
    </w:p>
    <w:p w14:paraId="4BD73E4B">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（2）供应商在收到竞争谈判文件修改通知后24小时内，应以电话、电报、电传或传真等形式告知本公司予以确认。</w:t>
      </w:r>
    </w:p>
    <w:p w14:paraId="449A7D8E">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为使供应商有合理的时间将修改通知内容考虑进去，采购人可以酌情延长递交谈判响应文件的截止日期，具体时间将在修改通知中写明。当竞争谈判文件、修改通知内容相互矛盾时，以最后发出的书面通知为准。</w:t>
      </w:r>
    </w:p>
    <w:p w14:paraId="3D08C498">
      <w:pPr>
        <w:pStyle w:val="4"/>
        <w:adjustRightInd w:val="0"/>
        <w:snapToGrid w:val="0"/>
        <w:spacing w:before="0" w:after="0" w:line="440" w:lineRule="exact"/>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四、谈判响应文件的编制</w:t>
      </w:r>
    </w:p>
    <w:p w14:paraId="52C06867">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1、谈判响应文件是对竞争谈判文件实质性响应的承诺文件。</w:t>
      </w:r>
    </w:p>
    <w:p w14:paraId="26DBC28B">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2、谈判响应文件的份数和签署</w:t>
      </w:r>
    </w:p>
    <w:p w14:paraId="30294CB3">
      <w:pPr>
        <w:adjustRightInd w:val="0"/>
        <w:snapToGrid w:val="0"/>
        <w:spacing w:line="440" w:lineRule="exact"/>
        <w:ind w:firstLine="420" w:firstLineChars="200"/>
        <w:rPr>
          <w:rFonts w:hint="eastAsia" w:ascii="宋体" w:hAnsi="宋体" w:cs="宋体"/>
          <w:b/>
          <w:kern w:val="0"/>
          <w:szCs w:val="21"/>
          <w:highlight w:val="none"/>
        </w:rPr>
      </w:pPr>
      <w:r>
        <w:rPr>
          <w:rFonts w:hint="eastAsia" w:ascii="宋体" w:hAnsi="宋体" w:cs="宋体"/>
          <w:szCs w:val="21"/>
          <w:highlight w:val="none"/>
        </w:rPr>
        <w:t>（1）</w:t>
      </w:r>
      <w:r>
        <w:rPr>
          <w:rFonts w:hint="eastAsia" w:ascii="宋体" w:hAnsi="宋体" w:cs="宋体"/>
          <w:b/>
          <w:kern w:val="0"/>
          <w:szCs w:val="21"/>
          <w:highlight w:val="none"/>
        </w:rPr>
        <w:t>供应商应按本竞争谈判文件的规定，向采购单位提交谈判响应文件，其中壹份正本，贰份副本。并在</w:t>
      </w:r>
      <w:r>
        <w:rPr>
          <w:rFonts w:hint="eastAsia" w:ascii="宋体" w:hAnsi="宋体" w:cs="宋体"/>
          <w:b/>
          <w:kern w:val="0"/>
          <w:szCs w:val="21"/>
          <w:highlight w:val="none"/>
          <w:lang w:val="en-US" w:eastAsia="zh-CN"/>
        </w:rPr>
        <w:t>封面</w:t>
      </w:r>
      <w:r>
        <w:rPr>
          <w:rFonts w:hint="eastAsia" w:ascii="宋体" w:hAnsi="宋体" w:cs="宋体"/>
          <w:b/>
          <w:kern w:val="0"/>
          <w:szCs w:val="21"/>
          <w:highlight w:val="none"/>
        </w:rPr>
        <w:t>上注明“正本”或“副本”字样，当正本与副本有不一致时，以正本为准。</w:t>
      </w:r>
    </w:p>
    <w:p w14:paraId="24EBD3C6">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（2）谈判响应文件正、副本均使用A4纸统一装订，且均应使用不能擦去的墨水书写或打印，按前附表要求盖章、签字。</w:t>
      </w:r>
    </w:p>
    <w:p w14:paraId="57FFC8A3">
      <w:pPr>
        <w:adjustRightInd w:val="0"/>
        <w:snapToGrid w:val="0"/>
        <w:spacing w:line="440" w:lineRule="exact"/>
        <w:ind w:firstLine="420" w:firstLineChars="200"/>
        <w:rPr>
          <w:rFonts w:hint="eastAsia" w:ascii="宋体" w:hAnsi="宋体" w:cs="宋体"/>
          <w:b/>
          <w:bCs/>
          <w:sz w:val="24"/>
          <w:szCs w:val="24"/>
          <w:highlight w:val="none"/>
        </w:rPr>
      </w:pPr>
      <w:r>
        <w:rPr>
          <w:rFonts w:hint="eastAsia" w:ascii="宋体" w:hAnsi="宋体" w:cs="宋体"/>
          <w:szCs w:val="21"/>
          <w:highlight w:val="none"/>
        </w:rPr>
        <w:t>（3）全套谈判响应文件应无修改和行间插字，除非这些修改是根据“竞争谈判文件修改通知”的要求进行的，或者是供应商明显笔误必须修改的。不论何种原因造成的涂改、插字和删除，都应由谈判响应文件签署人加盖印鉴。</w:t>
      </w:r>
    </w:p>
    <w:p w14:paraId="7213E759">
      <w:pPr>
        <w:pStyle w:val="4"/>
        <w:adjustRightInd w:val="0"/>
        <w:snapToGrid w:val="0"/>
        <w:spacing w:before="0" w:after="0" w:line="440" w:lineRule="exact"/>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五、谈判响应文件的递交</w:t>
      </w:r>
    </w:p>
    <w:p w14:paraId="38B24F51">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1、谈判响应文件的密封与标志</w:t>
      </w:r>
    </w:p>
    <w:p w14:paraId="381D5F43">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所有谈判响应文件为明标，应将谈判响应文件的</w:t>
      </w:r>
      <w:r>
        <w:rPr>
          <w:rFonts w:hint="eastAsia" w:ascii="宋体" w:hAnsi="宋体" w:cs="宋体"/>
          <w:b/>
          <w:szCs w:val="21"/>
          <w:highlight w:val="none"/>
          <w:u w:val="single"/>
        </w:rPr>
        <w:t>正本</w:t>
      </w:r>
      <w:r>
        <w:rPr>
          <w:rFonts w:hint="eastAsia" w:ascii="宋体" w:hAnsi="宋体" w:cs="宋体"/>
          <w:szCs w:val="21"/>
          <w:highlight w:val="none"/>
        </w:rPr>
        <w:t>、</w:t>
      </w:r>
      <w:r>
        <w:rPr>
          <w:rFonts w:hint="eastAsia" w:ascii="宋体" w:hAnsi="宋体" w:cs="宋体"/>
          <w:b/>
          <w:szCs w:val="21"/>
          <w:highlight w:val="none"/>
          <w:u w:val="single"/>
        </w:rPr>
        <w:t>副本</w:t>
      </w:r>
      <w:r>
        <w:rPr>
          <w:rFonts w:hint="eastAsia" w:ascii="宋体" w:hAnsi="宋体" w:cs="宋体"/>
          <w:b w:val="0"/>
          <w:bCs/>
          <w:szCs w:val="21"/>
          <w:highlight w:val="none"/>
          <w:lang w:val="en-US" w:eastAsia="zh-CN"/>
        </w:rPr>
        <w:t>用一个密封袋封装</w:t>
      </w:r>
      <w:r>
        <w:rPr>
          <w:rFonts w:hint="eastAsia" w:ascii="宋体" w:hAnsi="宋体" w:cs="宋体"/>
          <w:szCs w:val="21"/>
          <w:highlight w:val="none"/>
        </w:rPr>
        <w:t>，封袋上应写明项目名称、谈判供应商名称，加盖谈判供应商公章，并经法定代表人或委托代理人签字（或盖章）。</w:t>
      </w:r>
    </w:p>
    <w:p w14:paraId="46FDD580">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2、谈判截止期</w:t>
      </w:r>
    </w:p>
    <w:p w14:paraId="33BDA799">
      <w:pPr>
        <w:adjustRightInd w:val="0"/>
        <w:snapToGrid w:val="0"/>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（1）供应商应在谈判须知中规定的时间之前将谈判响应文件递交到指定地点。采购单位在接到谈判响应文件时将注明收到的日期和时间。</w:t>
      </w:r>
    </w:p>
    <w:p w14:paraId="08E43854">
      <w:pPr>
        <w:adjustRightInd w:val="0"/>
        <w:snapToGrid w:val="0"/>
        <w:spacing w:line="440" w:lineRule="exact"/>
        <w:ind w:firstLine="420" w:firstLineChars="200"/>
        <w:rPr>
          <w:rFonts w:hint="eastAsia" w:ascii="宋体" w:hAnsi="宋体" w:cs="宋体"/>
          <w:kern w:val="0"/>
          <w:szCs w:val="21"/>
          <w:highlight w:val="none"/>
        </w:rPr>
      </w:pPr>
      <w:r>
        <w:rPr>
          <w:rFonts w:hint="eastAsia" w:ascii="宋体" w:hAnsi="宋体" w:cs="宋体"/>
          <w:kern w:val="0"/>
          <w:szCs w:val="21"/>
          <w:highlight w:val="none"/>
        </w:rPr>
        <w:t>（2）超过谈判截止期送达的谈判响应文件将被拒绝并原封退给供应商。</w:t>
      </w:r>
    </w:p>
    <w:p w14:paraId="51431F8C">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3、谈判响应文件的修改与撤回</w:t>
      </w:r>
    </w:p>
    <w:p w14:paraId="4868E1BE">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（1）供应商可以在递交谈判响应文件以后，在规定的谈判截止期之前，以书面形式向采购单位递交修改或撤回其谈判响应文件的通知。在谈判截止期以后，不得更改谈判响应文件。</w:t>
      </w:r>
    </w:p>
    <w:p w14:paraId="0CAB5B09">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（2）供应商的修改或撤回通知，应按本文件的要求编制、密封、标志和递交（密封袋上应标明“修改”或“撤回”字样）。</w:t>
      </w:r>
    </w:p>
    <w:p w14:paraId="438A49D4">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（3）在谈判有效期内，供应商不得撤销谈判响应文件，否则其谈判保证金（若有）不予退还。</w:t>
      </w:r>
    </w:p>
    <w:p w14:paraId="76C61FD1">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4、谈判保证金（若有）</w:t>
      </w:r>
    </w:p>
    <w:p w14:paraId="782603F2">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（1）谈判前，供应商应向本公司提交供应商须知前附表规定金额的谈判保证金，作为谈判的一部分。</w:t>
      </w:r>
    </w:p>
    <w:p w14:paraId="3A1539AE">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（2）在评审时，对于未按要求提交谈判保证金的谈判，将被视为非响应性谈判而导致谈判无效。</w:t>
      </w:r>
    </w:p>
    <w:p w14:paraId="07D31D97">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w:t>
      </w:r>
      <w:r>
        <w:rPr>
          <w:rFonts w:hint="eastAsia" w:ascii="宋体" w:hAnsi="宋体" w:cs="宋体"/>
          <w:bCs/>
          <w:kern w:val="0"/>
          <w:szCs w:val="21"/>
          <w:highlight w:val="none"/>
          <w:lang w:val="zh-CN"/>
        </w:rPr>
        <w:t>成交单位的保证金在缴纳代理服务费后，退至其账户；未成交单位（含成交备选单位）的谈判保证金在确定成交单位后5个工作日内退其单位账户。</w:t>
      </w:r>
    </w:p>
    <w:p w14:paraId="414119F7">
      <w:pPr>
        <w:adjustRightInd w:val="0"/>
        <w:snapToGrid w:val="0"/>
        <w:spacing w:line="440" w:lineRule="exact"/>
        <w:ind w:firstLine="555"/>
        <w:rPr>
          <w:rFonts w:hint="eastAsia" w:ascii="宋体" w:hAnsi="宋体" w:cs="宋体"/>
          <w:szCs w:val="21"/>
          <w:highlight w:val="none"/>
        </w:rPr>
      </w:pPr>
      <w:r>
        <w:rPr>
          <w:rFonts w:hint="eastAsia" w:ascii="宋体" w:hAnsi="宋体" w:cs="宋体"/>
          <w:b/>
          <w:bCs/>
          <w:szCs w:val="21"/>
          <w:highlight w:val="none"/>
        </w:rPr>
        <w:t>5、</w:t>
      </w:r>
      <w:r>
        <w:rPr>
          <w:rFonts w:hint="eastAsia" w:ascii="宋体" w:hAnsi="宋体" w:cs="宋体"/>
          <w:b/>
          <w:szCs w:val="21"/>
          <w:highlight w:val="none"/>
        </w:rPr>
        <w:t>发生下列情况之一时，谈判保证金（若有）将不予退还：</w:t>
      </w:r>
    </w:p>
    <w:p w14:paraId="65E2092E">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（1）供应商在提交谈判担保后不参加谈判或在谈判有效期内撤销谈判响应文件的；</w:t>
      </w:r>
    </w:p>
    <w:p w14:paraId="5B9A8041">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（2）成交人未能在规定期限内按照竞争谈判文件内容提交履约担保或签订合同协议的；</w:t>
      </w:r>
    </w:p>
    <w:p w14:paraId="45C82801">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（3）成交人因自身原放弃成交资格的；</w:t>
      </w:r>
    </w:p>
    <w:p w14:paraId="61AC5AB8">
      <w:pPr>
        <w:adjustRightInd w:val="0"/>
        <w:snapToGrid w:val="0"/>
        <w:spacing w:line="44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（4）供应商在谈判活动中存在违规和违法行为的。</w:t>
      </w:r>
    </w:p>
    <w:p w14:paraId="2E970326">
      <w:pPr>
        <w:pStyle w:val="4"/>
        <w:adjustRightInd w:val="0"/>
        <w:spacing w:before="0" w:after="0" w:line="440" w:lineRule="exact"/>
        <w:textAlignment w:val="baseline"/>
        <w:rPr>
          <w:rFonts w:hint="eastAsia" w:ascii="宋体" w:hAnsi="宋体" w:eastAsia="宋体" w:cs="宋体"/>
          <w:sz w:val="21"/>
          <w:szCs w:val="21"/>
          <w:highlight w:val="none"/>
          <w:lang w:val="zh-CN" w:eastAsia="zh-CN"/>
        </w:rPr>
      </w:pPr>
      <w:r>
        <w:rPr>
          <w:rFonts w:hint="eastAsia" w:ascii="宋体" w:hAnsi="宋体" w:eastAsia="宋体" w:cs="宋体"/>
          <w:sz w:val="21"/>
          <w:szCs w:val="21"/>
          <w:highlight w:val="none"/>
          <w:lang w:val="zh-CN" w:eastAsia="zh-CN"/>
        </w:rPr>
        <w:t>六</w:t>
      </w:r>
      <w:bookmarkStart w:id="8" w:name="_Toc15950"/>
      <w:bookmarkStart w:id="9" w:name="_Toc13583"/>
      <w:r>
        <w:rPr>
          <w:rFonts w:hint="eastAsia" w:ascii="宋体" w:hAnsi="宋体" w:eastAsia="宋体" w:cs="宋体"/>
          <w:sz w:val="21"/>
          <w:szCs w:val="21"/>
          <w:highlight w:val="none"/>
          <w:lang w:val="zh-CN" w:eastAsia="zh-CN"/>
        </w:rPr>
        <w:t>、谈判程序</w:t>
      </w:r>
      <w:bookmarkEnd w:id="8"/>
      <w:bookmarkEnd w:id="9"/>
    </w:p>
    <w:p w14:paraId="581DC1B7">
      <w:pPr>
        <w:tabs>
          <w:tab w:val="left" w:pos="900"/>
        </w:tabs>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1、谈判人员是按规定组成的三人或三人以上的谈判小组。</w:t>
      </w:r>
    </w:p>
    <w:p w14:paraId="0928CB1A">
      <w:pPr>
        <w:tabs>
          <w:tab w:val="left" w:pos="900"/>
        </w:tabs>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2、在掌握了供应商的基本情况后，谈判小组将按谈判现场签到顺序，与供应商分别进行谈判。</w:t>
      </w:r>
    </w:p>
    <w:p w14:paraId="4C09EFF4">
      <w:pPr>
        <w:tabs>
          <w:tab w:val="left" w:pos="900"/>
        </w:tabs>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3、谈判是分别单独进行的。供应商不得与其他参与谈判的供应商相互串通；谈判小组也不得将与某一供应商的谈判情况向其他供应商及其关系人透露。</w:t>
      </w:r>
    </w:p>
    <w:p w14:paraId="11E7CEE1">
      <w:pPr>
        <w:tabs>
          <w:tab w:val="left" w:pos="900"/>
        </w:tabs>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4、谈判采用一轮谈判、两轮报价的方式进行。但最终采取多少轮谈判，由谈判小组视情况而定。</w:t>
      </w:r>
    </w:p>
    <w:p w14:paraId="592DA903">
      <w:pPr>
        <w:tabs>
          <w:tab w:val="left" w:pos="900"/>
        </w:tabs>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5、谈判结束后，谈判小组将要求所有符合条件的供应商在规定的时间内进行最后的报价。</w:t>
      </w:r>
    </w:p>
    <w:p w14:paraId="4A450B6C">
      <w:pPr>
        <w:tabs>
          <w:tab w:val="left" w:pos="900"/>
        </w:tabs>
        <w:spacing w:line="440" w:lineRule="exact"/>
        <w:ind w:firstLine="420" w:firstLineChars="200"/>
        <w:jc w:val="left"/>
        <w:rPr>
          <w:rFonts w:hint="eastAsia" w:ascii="宋体" w:hAnsi="宋体" w:cs="宋体"/>
          <w:b/>
          <w:bCs/>
          <w:szCs w:val="21"/>
          <w:highlight w:val="none"/>
        </w:rPr>
      </w:pPr>
      <w:r>
        <w:rPr>
          <w:rFonts w:hint="eastAsia" w:ascii="宋体" w:hAnsi="宋体" w:cs="宋体"/>
          <w:szCs w:val="21"/>
          <w:highlight w:val="none"/>
        </w:rPr>
        <w:t>6、供应商必须在规定的时间内将自己在谈判中作出的澄清、变动以及最终的报价，经法定代表人或被授权代表签字后，以书面的方式提交给谈判小组。</w:t>
      </w:r>
    </w:p>
    <w:p w14:paraId="4A3C3FD4">
      <w:pPr>
        <w:pStyle w:val="4"/>
        <w:adjustRightInd w:val="0"/>
        <w:spacing w:before="0" w:after="0" w:line="440" w:lineRule="exact"/>
        <w:textAlignment w:val="baseline"/>
        <w:rPr>
          <w:rFonts w:hint="eastAsia" w:ascii="宋体" w:hAnsi="宋体" w:eastAsia="宋体" w:cs="宋体"/>
          <w:sz w:val="21"/>
          <w:szCs w:val="21"/>
          <w:highlight w:val="none"/>
          <w:lang w:val="zh-CN" w:eastAsia="zh-CN"/>
        </w:rPr>
      </w:pPr>
      <w:bookmarkStart w:id="10" w:name="_Toc7501"/>
      <w:bookmarkStart w:id="11" w:name="_Toc636"/>
      <w:r>
        <w:rPr>
          <w:rFonts w:hint="eastAsia" w:ascii="宋体" w:hAnsi="宋体" w:eastAsia="宋体" w:cs="宋体"/>
          <w:sz w:val="21"/>
          <w:szCs w:val="21"/>
          <w:highlight w:val="none"/>
          <w:lang w:val="en-US" w:eastAsia="zh-CN"/>
        </w:rPr>
        <w:t>七</w:t>
      </w:r>
      <w:r>
        <w:rPr>
          <w:rFonts w:hint="eastAsia" w:ascii="宋体" w:hAnsi="宋体" w:eastAsia="宋体" w:cs="宋体"/>
          <w:sz w:val="21"/>
          <w:szCs w:val="21"/>
          <w:highlight w:val="none"/>
          <w:lang w:val="zh-CN" w:eastAsia="zh-CN"/>
        </w:rPr>
        <w:t>、评审及异常情况处理</w:t>
      </w:r>
      <w:bookmarkEnd w:id="10"/>
      <w:bookmarkEnd w:id="11"/>
    </w:p>
    <w:p w14:paraId="535E37CD">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1、谈判小组将遵循公平、公正的原则，对供应商最终提交的确认价进行综合评审，根据得分由高到低顺序推荐1-3名成交候选供应商。</w:t>
      </w:r>
    </w:p>
    <w:p w14:paraId="69C3FFD4">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2、谈判时出现以下情况之一的，将予以废标：</w:t>
      </w:r>
    </w:p>
    <w:p w14:paraId="542E3218">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（1）符合专业条件的供应商或者对采购文件作实质性响应的供应商不足2家的；</w:t>
      </w:r>
    </w:p>
    <w:p w14:paraId="0B45F93E">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（2）供应商的报价均超过了采购预算，经过多轮谈判仍不能降到预算内、且采购人不能支付的；</w:t>
      </w:r>
    </w:p>
    <w:p w14:paraId="40B42A6F">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（3）经过谈判，供应商所提供的服务仍无法满足谈判文件实质性要求、影响工作的；</w:t>
      </w:r>
    </w:p>
    <w:p w14:paraId="55E67A7B">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（4）出现影响采购公正的违法、违规行为的；</w:t>
      </w:r>
    </w:p>
    <w:p w14:paraId="5D9F5257">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（5）因重大变故，采购任务取消的。</w:t>
      </w:r>
    </w:p>
    <w:p w14:paraId="15539245">
      <w:pPr>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3、若废标条款符合第一款情形，经集团批准后，现场可以转为其他采购方式。</w:t>
      </w:r>
    </w:p>
    <w:p w14:paraId="0C4CFA1D">
      <w:pPr>
        <w:widowControl/>
        <w:shd w:val="clear" w:color="auto" w:fill="FFFFFF"/>
        <w:adjustRightInd w:val="0"/>
        <w:snapToGrid w:val="0"/>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4、重新组织谈判，采购单位将通过安徽霍山国有资产投资控股集团有限公司进行公告。</w:t>
      </w:r>
    </w:p>
    <w:p w14:paraId="32930DD2">
      <w:pPr>
        <w:pStyle w:val="18"/>
        <w:spacing w:line="440" w:lineRule="exact"/>
        <w:rPr>
          <w:rFonts w:hint="eastAsia"/>
          <w:highlight w:val="none"/>
        </w:rPr>
      </w:pPr>
      <w:r>
        <w:rPr>
          <w:rFonts w:hint="eastAsia" w:ascii="宋体" w:hAnsi="宋体" w:cs="宋体"/>
          <w:sz w:val="21"/>
          <w:szCs w:val="21"/>
          <w:highlight w:val="none"/>
        </w:rPr>
        <w:t>5、</w:t>
      </w:r>
      <w:r>
        <w:rPr>
          <w:rFonts w:hint="eastAsia" w:ascii="宋体" w:hAnsi="宋体" w:cs="宋体"/>
          <w:b/>
          <w:sz w:val="21"/>
          <w:szCs w:val="21"/>
          <w:highlight w:val="none"/>
        </w:rPr>
        <w:t>提交谈判响应文件的</w:t>
      </w:r>
      <w:r>
        <w:rPr>
          <w:rFonts w:hint="eastAsia" w:ascii="宋体" w:hAnsi="宋体" w:cs="宋体"/>
          <w:b/>
          <w:sz w:val="21"/>
          <w:szCs w:val="21"/>
          <w:highlight w:val="none"/>
          <w:lang w:eastAsia="zh-CN"/>
        </w:rPr>
        <w:t>供应商</w:t>
      </w:r>
      <w:r>
        <w:rPr>
          <w:rFonts w:hint="eastAsia" w:ascii="宋体" w:hAnsi="宋体" w:cs="宋体"/>
          <w:b/>
          <w:sz w:val="21"/>
          <w:szCs w:val="21"/>
          <w:highlight w:val="none"/>
        </w:rPr>
        <w:t>少于2个的，采购人将依法重新谈判或经采购人主管部门审批现场转为单源直接采购。</w:t>
      </w:r>
    </w:p>
    <w:p w14:paraId="72649D51">
      <w:pPr>
        <w:pStyle w:val="4"/>
        <w:adjustRightInd w:val="0"/>
        <w:spacing w:before="156" w:beforeLines="50" w:after="156" w:afterLines="50" w:line="440" w:lineRule="exact"/>
        <w:textAlignment w:val="baseline"/>
        <w:rPr>
          <w:rFonts w:hint="eastAsia" w:ascii="宋体" w:hAnsi="宋体" w:eastAsia="宋体" w:cs="宋体"/>
          <w:sz w:val="21"/>
          <w:szCs w:val="21"/>
          <w:highlight w:val="none"/>
          <w:lang w:val="zh-CN" w:eastAsia="zh-CN"/>
        </w:rPr>
      </w:pPr>
      <w:bookmarkStart w:id="12" w:name="_Toc3702"/>
      <w:bookmarkStart w:id="13" w:name="_Toc5003"/>
      <w:r>
        <w:rPr>
          <w:rFonts w:hint="eastAsia" w:ascii="宋体" w:hAnsi="宋体" w:eastAsia="宋体" w:cs="宋体"/>
          <w:sz w:val="21"/>
          <w:szCs w:val="21"/>
          <w:highlight w:val="none"/>
          <w:lang w:val="en-US" w:eastAsia="zh-CN"/>
        </w:rPr>
        <w:t>八</w:t>
      </w:r>
      <w:r>
        <w:rPr>
          <w:rFonts w:hint="eastAsia" w:ascii="宋体" w:hAnsi="宋体" w:eastAsia="宋体" w:cs="宋体"/>
          <w:sz w:val="21"/>
          <w:szCs w:val="21"/>
          <w:highlight w:val="none"/>
          <w:lang w:val="zh-CN" w:eastAsia="zh-CN"/>
        </w:rPr>
        <w:t>、报价响应及答疑</w:t>
      </w:r>
      <w:bookmarkEnd w:id="12"/>
      <w:bookmarkEnd w:id="13"/>
    </w:p>
    <w:p w14:paraId="7E5ACA71">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1、响应报价应含有所投供货各环节所发生的一切费用。</w:t>
      </w:r>
    </w:p>
    <w:p w14:paraId="29EC17B7">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如有需要，供应商应自行对供货现场和周围环境进行勘察，以获取编制响应文件和签署合同所需的资料。勘察现场所发生的费用由供应商自行承担。采购人向供应商提供的有关供货现场的资料和数据，是采购人现有的能使供应商利用的资料。采购人对供应商由此而做出的推论、理解和结论概不负责。供应商因自身原因未到服务现场实地踏勘的，成交后签订合同时和履约过程中，不得以不完全了解现场情况为由，提出任何形式的增加合同外服务费用或索赔的要求。</w:t>
      </w:r>
    </w:p>
    <w:p w14:paraId="11D9FB95">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3、供应商如果对谈判文件的其他任何内容有相关疑问，可以网上形式</w:t>
      </w:r>
      <w:r>
        <w:rPr>
          <w:rFonts w:hint="eastAsia" w:ascii="宋体" w:hAnsi="宋体" w:cs="宋体"/>
          <w:highlight w:val="none"/>
        </w:rPr>
        <w:t>编辑word 或 PDF模式发送至1293912414@qq.com邮箱</w:t>
      </w:r>
      <w:r>
        <w:rPr>
          <w:rFonts w:hint="eastAsia" w:ascii="宋体" w:hAnsi="宋体" w:cs="宋体"/>
          <w:szCs w:val="21"/>
          <w:highlight w:val="none"/>
        </w:rPr>
        <w:t>提出。</w:t>
      </w:r>
    </w:p>
    <w:p w14:paraId="7298C0C9">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请供应商及时通过安徽霍山国有资产投资控股集团有限公司网站“补充公告”栏目及时查看答疑文件。</w:t>
      </w:r>
    </w:p>
    <w:p w14:paraId="42923FD2">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4、供应商应确保其所提供的响应资料的真实性、有效性及合法性，否则，由此引起的任何责任由其自行承担。</w:t>
      </w:r>
    </w:p>
    <w:p w14:paraId="7BEBC0F6">
      <w:pPr>
        <w:pStyle w:val="4"/>
        <w:adjustRightInd w:val="0"/>
        <w:spacing w:before="156" w:beforeLines="50" w:after="156" w:afterLines="50" w:line="440" w:lineRule="exact"/>
        <w:textAlignment w:val="baseline"/>
        <w:rPr>
          <w:rFonts w:hint="eastAsia" w:ascii="宋体" w:hAnsi="宋体" w:eastAsia="宋体" w:cs="宋体"/>
          <w:sz w:val="21"/>
          <w:szCs w:val="21"/>
          <w:highlight w:val="none"/>
          <w:lang w:val="zh-CN" w:eastAsia="zh-CN"/>
        </w:rPr>
      </w:pPr>
      <w:bookmarkStart w:id="14" w:name="_Toc15038"/>
      <w:bookmarkStart w:id="15" w:name="_Toc6858"/>
      <w:r>
        <w:rPr>
          <w:rFonts w:hint="eastAsia" w:ascii="宋体" w:hAnsi="宋体" w:eastAsia="宋体" w:cs="宋体"/>
          <w:sz w:val="21"/>
          <w:szCs w:val="21"/>
          <w:highlight w:val="none"/>
          <w:lang w:val="en-US" w:eastAsia="zh-CN"/>
        </w:rPr>
        <w:t>九</w:t>
      </w:r>
      <w:r>
        <w:rPr>
          <w:rFonts w:hint="eastAsia" w:ascii="宋体" w:hAnsi="宋体" w:eastAsia="宋体" w:cs="宋体"/>
          <w:sz w:val="21"/>
          <w:szCs w:val="21"/>
          <w:highlight w:val="none"/>
          <w:lang w:val="zh-CN" w:eastAsia="zh-CN"/>
        </w:rPr>
        <w:t>、合同的签订</w:t>
      </w:r>
      <w:bookmarkEnd w:id="14"/>
      <w:bookmarkEnd w:id="15"/>
    </w:p>
    <w:p w14:paraId="5EBB0A46">
      <w:pPr>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1、质疑期内如未接到供应商的质疑和投诉，将向成交供应商发出成交通知书。</w:t>
      </w:r>
    </w:p>
    <w:p w14:paraId="10656E2B">
      <w:pPr>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2、成交供应商在成交通知书发出后30日内与采购单位签订合同。采购文件、成交供应商的响应文件及澄清文件等，均作为合同的附件。</w:t>
      </w:r>
    </w:p>
    <w:p w14:paraId="7A9B4965">
      <w:pPr>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3、采购单位在签订合同时，可以在不改变合同其他条款的前提下变更采购数量，但变更的金额不得超过成交总价的10%。</w:t>
      </w:r>
    </w:p>
    <w:p w14:paraId="0AB2E4D2">
      <w:pPr>
        <w:spacing w:line="440" w:lineRule="exact"/>
        <w:ind w:firstLine="420" w:firstLineChars="200"/>
        <w:jc w:val="left"/>
        <w:rPr>
          <w:rFonts w:hint="eastAsia" w:ascii="宋体" w:hAnsi="宋体" w:cs="宋体"/>
          <w:szCs w:val="21"/>
          <w:highlight w:val="none"/>
        </w:rPr>
      </w:pPr>
      <w:r>
        <w:rPr>
          <w:rFonts w:hint="eastAsia" w:ascii="宋体" w:hAnsi="宋体" w:cs="宋体"/>
          <w:szCs w:val="21"/>
          <w:highlight w:val="none"/>
        </w:rPr>
        <w:t>4、成交供应商因不可抗力或者自身原因不能在规定的时间内与采购人签订采购合同，采购人可以与排在成交供应商后第一位的候选供应商签订采购合同，以此类推或重新组织采购。</w:t>
      </w:r>
    </w:p>
    <w:p w14:paraId="5A66B6F0">
      <w:pPr>
        <w:pStyle w:val="4"/>
        <w:adjustRightInd w:val="0"/>
        <w:spacing w:before="156" w:beforeLines="50" w:after="156" w:afterLines="50" w:line="440" w:lineRule="exact"/>
        <w:textAlignment w:val="baseline"/>
        <w:rPr>
          <w:rFonts w:hint="eastAsia" w:ascii="宋体" w:hAnsi="宋体" w:eastAsia="宋体" w:cs="宋体"/>
          <w:sz w:val="21"/>
          <w:szCs w:val="21"/>
          <w:highlight w:val="none"/>
          <w:lang w:val="zh-CN" w:eastAsia="zh-CN"/>
        </w:rPr>
      </w:pPr>
      <w:bookmarkStart w:id="16" w:name="_Toc8827"/>
      <w:bookmarkStart w:id="17" w:name="_Toc30736"/>
      <w:r>
        <w:rPr>
          <w:rFonts w:hint="eastAsia" w:ascii="宋体" w:hAnsi="宋体" w:eastAsia="宋体" w:cs="宋体"/>
          <w:sz w:val="21"/>
          <w:szCs w:val="21"/>
          <w:highlight w:val="none"/>
          <w:lang w:val="en-US" w:eastAsia="zh-CN"/>
        </w:rPr>
        <w:t>十</w:t>
      </w:r>
      <w:r>
        <w:rPr>
          <w:rFonts w:hint="eastAsia" w:ascii="宋体" w:hAnsi="宋体" w:eastAsia="宋体" w:cs="宋体"/>
          <w:sz w:val="21"/>
          <w:szCs w:val="21"/>
          <w:highlight w:val="none"/>
          <w:lang w:val="zh-CN" w:eastAsia="zh-CN"/>
        </w:rPr>
        <w:t>、澄清及变更</w:t>
      </w:r>
      <w:bookmarkEnd w:id="16"/>
      <w:bookmarkEnd w:id="17"/>
    </w:p>
    <w:p w14:paraId="7062D50A">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谈判文件如有澄清及变更，将以网上公告形式发布，请供应商及时关注。</w:t>
      </w:r>
    </w:p>
    <w:p w14:paraId="4FC180A3">
      <w:pPr>
        <w:pStyle w:val="4"/>
        <w:adjustRightInd w:val="0"/>
        <w:spacing w:before="156" w:beforeLines="50" w:after="156" w:afterLines="50" w:line="440" w:lineRule="exact"/>
        <w:textAlignment w:val="baseline"/>
        <w:rPr>
          <w:rFonts w:hint="eastAsia" w:ascii="宋体" w:hAnsi="宋体" w:eastAsia="宋体" w:cs="宋体"/>
          <w:sz w:val="21"/>
          <w:szCs w:val="21"/>
          <w:highlight w:val="none"/>
          <w:lang w:val="en-US" w:eastAsia="zh-CN"/>
        </w:rPr>
      </w:pPr>
      <w:bookmarkStart w:id="18" w:name="_Toc30024"/>
      <w:bookmarkStart w:id="19" w:name="_Toc3341"/>
      <w:r>
        <w:rPr>
          <w:rFonts w:hint="eastAsia" w:ascii="宋体" w:hAnsi="宋体" w:eastAsia="宋体" w:cs="宋体"/>
          <w:sz w:val="21"/>
          <w:szCs w:val="21"/>
          <w:highlight w:val="none"/>
          <w:lang w:val="en-US" w:eastAsia="zh-CN"/>
        </w:rPr>
        <w:t>十一</w:t>
      </w:r>
      <w:r>
        <w:rPr>
          <w:rFonts w:hint="eastAsia" w:ascii="宋体" w:hAnsi="宋体" w:eastAsia="宋体" w:cs="宋体"/>
          <w:sz w:val="21"/>
          <w:szCs w:val="21"/>
          <w:highlight w:val="none"/>
          <w:lang w:val="zh-CN" w:eastAsia="zh-CN"/>
        </w:rPr>
        <w:t>、</w:t>
      </w:r>
      <w:r>
        <w:rPr>
          <w:rFonts w:hint="eastAsia" w:ascii="宋体" w:hAnsi="宋体" w:eastAsia="宋体" w:cs="宋体"/>
          <w:sz w:val="21"/>
          <w:szCs w:val="21"/>
          <w:highlight w:val="none"/>
          <w:lang w:val="en-US" w:eastAsia="zh-CN"/>
        </w:rPr>
        <w:t>验收</w:t>
      </w:r>
      <w:bookmarkEnd w:id="18"/>
      <w:bookmarkEnd w:id="19"/>
    </w:p>
    <w:p w14:paraId="65A4F67B">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1、采购人验收时，应成立三人以上（由合同双方、资产管理人、技术人员、纪检等相关人员组成）验收小组，明确责任，严格依照采购文件、成交通知书、采购合同及相关验收规范进行核对、验收，形成验收结论，并出具书面验收报告。</w:t>
      </w:r>
    </w:p>
    <w:p w14:paraId="228B68B1">
      <w:pPr>
        <w:spacing w:line="440" w:lineRule="exact"/>
        <w:ind w:firstLine="420" w:firstLineChars="200"/>
        <w:rPr>
          <w:rFonts w:hint="eastAsia" w:ascii="宋体" w:hAnsi="宋体" w:cs="宋体"/>
          <w:szCs w:val="21"/>
          <w:highlight w:val="none"/>
        </w:rPr>
      </w:pPr>
      <w:r>
        <w:rPr>
          <w:rFonts w:hint="eastAsia" w:ascii="宋体" w:hAnsi="宋体" w:cs="宋体"/>
          <w:szCs w:val="21"/>
          <w:highlight w:val="none"/>
        </w:rPr>
        <w:t>2、涉及安全、消防、环保等其他需要由质检或行业主管部门进行验收的项目，必须邀请相关部门或相关专家参与验收。</w:t>
      </w:r>
    </w:p>
    <w:p w14:paraId="3AEC6916">
      <w:pPr>
        <w:pStyle w:val="4"/>
        <w:adjustRightInd w:val="0"/>
        <w:spacing w:before="156" w:beforeLines="50" w:after="156" w:afterLines="50" w:line="440" w:lineRule="exact"/>
        <w:textAlignment w:val="baseline"/>
        <w:rPr>
          <w:rFonts w:hint="eastAsia" w:ascii="宋体" w:hAnsi="宋体" w:eastAsia="宋体" w:cs="宋体"/>
          <w:sz w:val="21"/>
          <w:szCs w:val="21"/>
          <w:highlight w:val="none"/>
          <w:lang w:val="en-US" w:eastAsia="zh-CN"/>
        </w:rPr>
      </w:pPr>
      <w:bookmarkStart w:id="20" w:name="_Toc11013"/>
      <w:bookmarkStart w:id="21" w:name="_Toc31380"/>
      <w:r>
        <w:rPr>
          <w:rFonts w:hint="eastAsia" w:ascii="宋体" w:hAnsi="宋体" w:eastAsia="宋体" w:cs="宋体"/>
          <w:sz w:val="21"/>
          <w:szCs w:val="21"/>
          <w:highlight w:val="none"/>
          <w:lang w:val="en-US" w:eastAsia="zh-CN"/>
        </w:rPr>
        <w:t>十二</w:t>
      </w:r>
      <w:r>
        <w:rPr>
          <w:rFonts w:hint="eastAsia" w:ascii="宋体" w:hAnsi="宋体" w:eastAsia="宋体" w:cs="宋体"/>
          <w:sz w:val="21"/>
          <w:szCs w:val="21"/>
          <w:highlight w:val="none"/>
          <w:lang w:val="zh-CN" w:eastAsia="zh-CN"/>
        </w:rPr>
        <w:t>、</w:t>
      </w:r>
      <w:r>
        <w:rPr>
          <w:rFonts w:hint="eastAsia" w:ascii="宋体" w:hAnsi="宋体" w:eastAsia="宋体" w:cs="宋体"/>
          <w:sz w:val="21"/>
          <w:szCs w:val="21"/>
          <w:highlight w:val="none"/>
          <w:lang w:val="en-US" w:eastAsia="zh-CN"/>
        </w:rPr>
        <w:t>质疑</w:t>
      </w:r>
      <w:bookmarkEnd w:id="20"/>
      <w:bookmarkEnd w:id="21"/>
      <w:r>
        <w:rPr>
          <w:rFonts w:hint="eastAsia" w:ascii="宋体" w:hAnsi="宋体" w:eastAsia="宋体" w:cs="宋体"/>
          <w:sz w:val="21"/>
          <w:szCs w:val="21"/>
          <w:highlight w:val="none"/>
          <w:lang w:val="en-US" w:eastAsia="zh-CN"/>
        </w:rPr>
        <w:t>和投诉</w:t>
      </w:r>
    </w:p>
    <w:p w14:paraId="3C2145DA">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1、质疑人认为成交结果使自己的权益受到损害的，可以向采购人及采购代理机构提出质疑。质疑实行实名制，应当有具体的事项及根据，不得进行虚假、恶意质疑，扰乱公共资源交易活动的正常工作秩序。</w:t>
      </w:r>
    </w:p>
    <w:p w14:paraId="4582A7CD">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2、质疑应在规定时限内提出：</w:t>
      </w:r>
    </w:p>
    <w:p w14:paraId="1BD3F7B8">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对采购成交结果的质疑，应在成交结果公布之日起七个工作日内提出。</w:t>
      </w:r>
    </w:p>
    <w:p w14:paraId="29282AAA">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3、质疑应以书面形式实名提出，书面质疑材料应当包括以下内容：</w:t>
      </w:r>
    </w:p>
    <w:p w14:paraId="7160287A">
      <w:pPr>
        <w:widowControl/>
        <w:spacing w:line="440" w:lineRule="exact"/>
        <w:ind w:firstLine="420" w:firstLineChars="200"/>
        <w:jc w:val="left"/>
        <w:rPr>
          <w:rFonts w:hint="eastAsia" w:ascii="宋体" w:hAnsi="宋体" w:cs="宋体"/>
          <w:bCs/>
          <w:szCs w:val="21"/>
          <w:highlight w:val="none"/>
        </w:rPr>
      </w:pPr>
      <w:r>
        <w:rPr>
          <w:rFonts w:hint="eastAsia" w:ascii="宋体" w:hAnsi="宋体" w:cs="宋体"/>
          <w:bCs/>
          <w:szCs w:val="21"/>
          <w:highlight w:val="none"/>
        </w:rPr>
        <w:t>3.1质疑人的名称、地址、有效联系方式；</w:t>
      </w:r>
    </w:p>
    <w:p w14:paraId="25E8279A">
      <w:pPr>
        <w:widowControl/>
        <w:spacing w:line="440" w:lineRule="exact"/>
        <w:ind w:firstLine="420" w:firstLineChars="200"/>
        <w:jc w:val="left"/>
        <w:rPr>
          <w:rFonts w:hint="eastAsia" w:ascii="宋体" w:hAnsi="宋体" w:cs="宋体"/>
          <w:bCs/>
          <w:szCs w:val="21"/>
          <w:highlight w:val="none"/>
        </w:rPr>
      </w:pPr>
      <w:r>
        <w:rPr>
          <w:rFonts w:hint="eastAsia" w:ascii="宋体" w:hAnsi="宋体" w:cs="宋体"/>
          <w:bCs/>
          <w:szCs w:val="21"/>
          <w:highlight w:val="none"/>
        </w:rPr>
        <w:t>3.2项目名称、项目编号、包别号（如有）；</w:t>
      </w:r>
    </w:p>
    <w:p w14:paraId="677F4B74">
      <w:pPr>
        <w:widowControl/>
        <w:spacing w:line="440" w:lineRule="exact"/>
        <w:ind w:firstLine="420" w:firstLineChars="200"/>
        <w:jc w:val="left"/>
        <w:rPr>
          <w:rFonts w:hint="eastAsia" w:ascii="宋体" w:hAnsi="宋体" w:cs="宋体"/>
          <w:bCs/>
          <w:szCs w:val="21"/>
          <w:highlight w:val="none"/>
        </w:rPr>
      </w:pPr>
      <w:r>
        <w:rPr>
          <w:rFonts w:hint="eastAsia" w:ascii="宋体" w:hAnsi="宋体" w:cs="宋体"/>
          <w:bCs/>
          <w:szCs w:val="21"/>
          <w:highlight w:val="none"/>
        </w:rPr>
        <w:t>3.3被质疑人名称；</w:t>
      </w:r>
    </w:p>
    <w:p w14:paraId="3A8D7FE8">
      <w:pPr>
        <w:widowControl/>
        <w:spacing w:line="440" w:lineRule="exact"/>
        <w:ind w:firstLine="420" w:firstLineChars="200"/>
        <w:jc w:val="left"/>
        <w:rPr>
          <w:rFonts w:hint="eastAsia" w:ascii="宋体" w:hAnsi="宋体" w:cs="宋体"/>
          <w:bCs/>
          <w:szCs w:val="21"/>
          <w:highlight w:val="none"/>
        </w:rPr>
      </w:pPr>
      <w:r>
        <w:rPr>
          <w:rFonts w:hint="eastAsia" w:ascii="宋体" w:hAnsi="宋体" w:cs="宋体"/>
          <w:bCs/>
          <w:szCs w:val="21"/>
          <w:highlight w:val="none"/>
        </w:rPr>
        <w:t>3.4具体的质疑事项、基本事实及必要的证明材料；</w:t>
      </w:r>
    </w:p>
    <w:p w14:paraId="20DEF9A3">
      <w:pPr>
        <w:widowControl/>
        <w:spacing w:line="440" w:lineRule="exact"/>
        <w:ind w:firstLine="420" w:firstLineChars="200"/>
        <w:jc w:val="left"/>
        <w:rPr>
          <w:rFonts w:hint="eastAsia" w:ascii="宋体" w:hAnsi="宋体" w:cs="宋体"/>
          <w:bCs/>
          <w:szCs w:val="21"/>
          <w:highlight w:val="none"/>
        </w:rPr>
      </w:pPr>
      <w:r>
        <w:rPr>
          <w:rFonts w:hint="eastAsia" w:ascii="宋体" w:hAnsi="宋体" w:cs="宋体"/>
          <w:bCs/>
          <w:szCs w:val="21"/>
          <w:highlight w:val="none"/>
        </w:rPr>
        <w:t>3.5明确的请求及主张；</w:t>
      </w:r>
    </w:p>
    <w:p w14:paraId="7779443C">
      <w:pPr>
        <w:widowControl/>
        <w:spacing w:line="440" w:lineRule="exact"/>
        <w:ind w:firstLine="420" w:firstLineChars="200"/>
        <w:jc w:val="left"/>
        <w:rPr>
          <w:rFonts w:hint="eastAsia" w:ascii="宋体" w:hAnsi="宋体" w:cs="宋体"/>
          <w:bCs/>
          <w:szCs w:val="21"/>
          <w:highlight w:val="none"/>
        </w:rPr>
      </w:pPr>
      <w:r>
        <w:rPr>
          <w:rFonts w:hint="eastAsia" w:ascii="宋体" w:hAnsi="宋体" w:cs="宋体"/>
          <w:bCs/>
          <w:szCs w:val="21"/>
          <w:highlight w:val="none"/>
        </w:rPr>
        <w:t>3.6提起质疑的日期。</w:t>
      </w:r>
    </w:p>
    <w:p w14:paraId="03B13201">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质疑人为法人或者其他组织的，应当由法定代表人或其委托代理人（需有委托授权书）签字并加盖公章。</w:t>
      </w:r>
    </w:p>
    <w:p w14:paraId="61A2292E">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质疑人需要修改、补充质疑材料的，应当在质疑期内提交修改或补充材料。</w:t>
      </w:r>
    </w:p>
    <w:p w14:paraId="3E82B81E">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4、有下列情形之一的，不予受理：</w:t>
      </w:r>
    </w:p>
    <w:p w14:paraId="0AAD341A">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4.1提起质疑的主体不是参与该采购项目活动的供应商；</w:t>
      </w:r>
    </w:p>
    <w:p w14:paraId="7ED0D347">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4.2提起质疑的时间超过规定时限的；</w:t>
      </w:r>
    </w:p>
    <w:p w14:paraId="5DE8F1A2">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4.3质疑材料不完整的；</w:t>
      </w:r>
    </w:p>
    <w:p w14:paraId="75E49159">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4.4质疑事项含有主观猜测等内容且未提供有效线索、难以查证的；</w:t>
      </w:r>
    </w:p>
    <w:p w14:paraId="68DC8B3F">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4.5对其他谈判供应商的响应文件详细内容质疑，无法提供合法来源渠道的；</w:t>
      </w:r>
    </w:p>
    <w:p w14:paraId="5E6B4115">
      <w:pPr>
        <w:widowControl/>
        <w:spacing w:line="440" w:lineRule="exact"/>
        <w:ind w:firstLine="420" w:firstLineChars="200"/>
        <w:jc w:val="left"/>
        <w:rPr>
          <w:rFonts w:hint="eastAsia" w:ascii="宋体" w:hAnsi="宋体" w:cs="宋体"/>
          <w:kern w:val="0"/>
          <w:szCs w:val="21"/>
          <w:highlight w:val="none"/>
        </w:rPr>
      </w:pPr>
      <w:r>
        <w:rPr>
          <w:rFonts w:hint="eastAsia" w:ascii="宋体" w:hAnsi="宋体" w:cs="宋体"/>
          <w:kern w:val="0"/>
          <w:szCs w:val="21"/>
          <w:highlight w:val="none"/>
        </w:rPr>
        <w:t>4.6质疑事项已进入投诉处理、行政复议或行政诉讼程序的。</w:t>
      </w:r>
    </w:p>
    <w:p w14:paraId="5E7C1536">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5、经审查符合质疑条件的，自收到质疑之日起即为受理。采购人及采购代理机构将在质疑受理后7个工作日内作出答复或相关处理决定，并以书面形式通知质疑人，答复的内容不得涉及商业秘密。</w:t>
      </w:r>
    </w:p>
    <w:p w14:paraId="73D021C1">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6、质疑人在答复期满前撤回质疑的，应由法定代表人或授权代表人签字确认，即终止质疑处理程序。质疑人不得以同一理由再次提出质疑。</w:t>
      </w:r>
    </w:p>
    <w:p w14:paraId="0F18D17B">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质疑人对质疑答复不满意或采购人及采购代理机构未在规定时间内做出答复的，可以在规定期限内向采购人主管部门提起投诉。</w:t>
      </w:r>
    </w:p>
    <w:p w14:paraId="10D23593">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质疑人应在答复期满后十五个工作日内提起投诉，投诉办法参照《政府采购质疑和投诉办法》（财政部94号令）。</w:t>
      </w:r>
    </w:p>
    <w:p w14:paraId="0B1E26A0">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7、质疑人有下列情形之一的，属于虚假、恶意质疑，将报采购人主管部门予以处理。</w:t>
      </w:r>
    </w:p>
    <w:p w14:paraId="7E64643B">
      <w:pPr>
        <w:spacing w:line="440" w:lineRule="exact"/>
        <w:ind w:firstLine="420" w:firstLineChars="200"/>
        <w:rPr>
          <w:rFonts w:hint="eastAsia" w:ascii="宋体" w:hAnsi="宋体" w:cs="宋体"/>
          <w:bCs/>
          <w:szCs w:val="21"/>
          <w:highlight w:val="none"/>
        </w:rPr>
      </w:pPr>
      <w:r>
        <w:rPr>
          <w:rFonts w:hint="eastAsia" w:ascii="宋体" w:hAnsi="宋体" w:cs="宋体"/>
          <w:bCs/>
          <w:szCs w:val="21"/>
          <w:highlight w:val="none"/>
        </w:rPr>
        <w:t>7.1一年内三次以上质疑均查无实据的；</w:t>
      </w:r>
    </w:p>
    <w:p w14:paraId="25BB3F98">
      <w:pPr>
        <w:spacing w:line="440" w:lineRule="exact"/>
        <w:ind w:firstLine="420" w:firstLineChars="200"/>
        <w:rPr>
          <w:rFonts w:hint="eastAsia" w:ascii="宋体" w:hAnsi="宋体" w:cs="宋体"/>
          <w:szCs w:val="21"/>
          <w:highlight w:val="none"/>
        </w:rPr>
      </w:pPr>
      <w:r>
        <w:rPr>
          <w:rFonts w:hint="eastAsia" w:ascii="宋体" w:hAnsi="宋体" w:cs="宋体"/>
          <w:bCs/>
          <w:szCs w:val="21"/>
          <w:highlight w:val="none"/>
        </w:rPr>
        <w:t>7.2捏造事实恶意诬陷他人、有意提供虚假质疑材料的</w:t>
      </w:r>
      <w:r>
        <w:rPr>
          <w:rFonts w:hint="eastAsia" w:ascii="宋体" w:hAnsi="宋体" w:cs="宋体"/>
          <w:szCs w:val="21"/>
          <w:highlight w:val="none"/>
        </w:rPr>
        <w:t>或者通过非法手段获取材料的。</w:t>
      </w:r>
    </w:p>
    <w:p w14:paraId="7DDB8C81">
      <w:pPr>
        <w:spacing w:line="440" w:lineRule="exact"/>
        <w:ind w:firstLine="422" w:firstLineChars="200"/>
        <w:rPr>
          <w:rFonts w:hint="eastAsia" w:ascii="宋体" w:hAnsi="宋体" w:cs="宋体"/>
          <w:b/>
          <w:szCs w:val="21"/>
          <w:highlight w:val="none"/>
        </w:rPr>
      </w:pPr>
      <w:r>
        <w:rPr>
          <w:rFonts w:hint="eastAsia" w:ascii="宋体" w:hAnsi="宋体" w:cs="宋体"/>
          <w:b/>
          <w:szCs w:val="21"/>
          <w:highlight w:val="none"/>
        </w:rPr>
        <w:t>7.3采购代理服务费：服务费用根据国家发展改革委《关于进一步放开建设项目专业服务价格的通知》（发改价格〔2015〕299号）文件精神，代理服务费收费标准参照发改价格【2011】534号文件执行，招标代理服务费由中标人（成交人）支付，服务费为成交价格的1.5%，不足3000元按3000元计取。</w:t>
      </w:r>
    </w:p>
    <w:p w14:paraId="00AFE546">
      <w:pPr>
        <w:adjustRightInd w:val="0"/>
        <w:snapToGrid w:val="0"/>
        <w:spacing w:line="440" w:lineRule="exact"/>
        <w:ind w:firstLine="420" w:firstLineChars="200"/>
        <w:rPr>
          <w:rFonts w:hint="eastAsia" w:ascii="宋体" w:hAnsi="宋体" w:cs="宋体"/>
          <w:szCs w:val="21"/>
          <w:highlight w:val="none"/>
        </w:rPr>
      </w:pPr>
      <w:r>
        <w:rPr>
          <w:rFonts w:hint="eastAsia" w:ascii="宋体" w:hAnsi="宋体" w:cs="宋体"/>
          <w:bCs/>
          <w:szCs w:val="21"/>
          <w:highlight w:val="none"/>
        </w:rPr>
        <w:t>8.</w:t>
      </w:r>
      <w:r>
        <w:rPr>
          <w:rFonts w:hint="eastAsia" w:ascii="宋体" w:hAnsi="宋体" w:cs="宋体"/>
          <w:szCs w:val="21"/>
          <w:highlight w:val="none"/>
        </w:rPr>
        <w:t>本招标文件的最终解释权归采购单位和安徽大别山工程咨询有限公司。</w:t>
      </w:r>
      <w:bookmarkStart w:id="22" w:name="_Toc489602801"/>
      <w:bookmarkStart w:id="23" w:name="_Toc489602770"/>
      <w:bookmarkStart w:id="24" w:name="_Toc489602835"/>
    </w:p>
    <w:bookmarkEnd w:id="22"/>
    <w:bookmarkEnd w:id="23"/>
    <w:bookmarkEnd w:id="24"/>
    <w:p w14:paraId="1F5552CB">
      <w:pPr>
        <w:pStyle w:val="3"/>
        <w:adjustRightInd w:val="0"/>
        <w:spacing w:before="156" w:beforeLines="50" w:after="156" w:afterLines="50" w:line="500" w:lineRule="exact"/>
        <w:jc w:val="center"/>
        <w:textAlignment w:val="baseline"/>
        <w:rPr>
          <w:rFonts w:hint="eastAsia" w:ascii="宋体" w:hAnsi="宋体" w:cs="宋体"/>
          <w:szCs w:val="30"/>
          <w:highlight w:val="none"/>
        </w:rPr>
      </w:pPr>
      <w:bookmarkStart w:id="25" w:name="_Toc27648"/>
      <w:bookmarkStart w:id="26" w:name="_Toc23250"/>
      <w:bookmarkStart w:id="27" w:name="_Toc21436"/>
      <w:r>
        <w:rPr>
          <w:rFonts w:hint="eastAsia" w:ascii="宋体" w:hAnsi="宋体" w:cs="宋体"/>
          <w:caps/>
          <w:kern w:val="2"/>
          <w:szCs w:val="30"/>
          <w:highlight w:val="none"/>
          <w:lang w:val="zh-CN"/>
        </w:rPr>
        <w:br w:type="page"/>
      </w:r>
      <w:bookmarkStart w:id="28" w:name="_Toc11241"/>
      <w:bookmarkStart w:id="29" w:name="_Toc1839"/>
      <w:r>
        <w:rPr>
          <w:rFonts w:hint="eastAsia" w:ascii="宋体" w:hAnsi="宋体" w:cs="宋体"/>
          <w:caps/>
          <w:kern w:val="2"/>
          <w:szCs w:val="30"/>
          <w:highlight w:val="none"/>
          <w:lang w:val="zh-CN"/>
        </w:rPr>
        <w:t>第</w:t>
      </w:r>
      <w:r>
        <w:rPr>
          <w:rFonts w:hint="eastAsia" w:ascii="宋体" w:hAnsi="宋体" w:cs="宋体"/>
          <w:caps/>
          <w:kern w:val="2"/>
          <w:szCs w:val="30"/>
          <w:highlight w:val="none"/>
        </w:rPr>
        <w:t>三</w:t>
      </w:r>
      <w:r>
        <w:rPr>
          <w:rFonts w:hint="eastAsia" w:ascii="宋体" w:hAnsi="宋体" w:cs="宋体"/>
          <w:caps/>
          <w:kern w:val="2"/>
          <w:szCs w:val="30"/>
          <w:highlight w:val="none"/>
          <w:lang w:val="zh-CN"/>
        </w:rPr>
        <w:t>章</w:t>
      </w:r>
      <w:r>
        <w:rPr>
          <w:rFonts w:hint="eastAsia" w:ascii="宋体" w:hAnsi="宋体" w:cs="宋体"/>
          <w:caps/>
          <w:kern w:val="2"/>
          <w:szCs w:val="30"/>
          <w:highlight w:val="none"/>
        </w:rPr>
        <w:t xml:space="preserve"> </w:t>
      </w:r>
      <w:r>
        <w:rPr>
          <w:rFonts w:hint="eastAsia" w:ascii="宋体" w:hAnsi="宋体" w:cs="宋体"/>
          <w:szCs w:val="30"/>
          <w:highlight w:val="none"/>
        </w:rPr>
        <w:t>采购合同</w:t>
      </w:r>
      <w:bookmarkEnd w:id="25"/>
      <w:bookmarkEnd w:id="26"/>
      <w:bookmarkEnd w:id="28"/>
      <w:bookmarkEnd w:id="29"/>
    </w:p>
    <w:p w14:paraId="2053ECE3">
      <w:pPr>
        <w:adjustRightInd w:val="0"/>
        <w:snapToGrid w:val="0"/>
        <w:spacing w:before="156" w:beforeLines="50" w:after="156" w:afterLines="50" w:line="440" w:lineRule="exact"/>
        <w:jc w:val="center"/>
        <w:rPr>
          <w:rFonts w:hint="eastAsia" w:ascii="宋体" w:hAnsi="宋体" w:cs="宋体"/>
          <w:caps/>
          <w:sz w:val="28"/>
          <w:szCs w:val="28"/>
          <w:highlight w:val="none"/>
          <w:lang w:val="zh-CN"/>
        </w:rPr>
      </w:pPr>
      <w:r>
        <w:rPr>
          <w:rFonts w:hint="eastAsia" w:ascii="宋体" w:hAnsi="宋体" w:cs="宋体"/>
          <w:b/>
          <w:bCs/>
          <w:sz w:val="24"/>
          <w:szCs w:val="24"/>
          <w:highlight w:val="none"/>
        </w:rPr>
        <w:t>（采购人与成交供应商自行协商拟定，但不得违背采购文件实质性条款）</w:t>
      </w:r>
      <w:bookmarkEnd w:id="27"/>
    </w:p>
    <w:p w14:paraId="340114E4">
      <w:pPr>
        <w:pStyle w:val="3"/>
        <w:adjustRightInd w:val="0"/>
        <w:snapToGrid w:val="0"/>
        <w:spacing w:before="156" w:beforeLines="50" w:after="156" w:afterLines="50" w:line="440" w:lineRule="exact"/>
        <w:jc w:val="center"/>
        <w:rPr>
          <w:rFonts w:ascii="宋体" w:hAnsi="宋体" w:cs="宋体"/>
          <w:szCs w:val="30"/>
          <w:highlight w:val="none"/>
        </w:rPr>
      </w:pPr>
      <w:r>
        <w:rPr>
          <w:rFonts w:hint="eastAsia" w:ascii="宋体" w:hAnsi="宋体" w:cs="宋体"/>
          <w:caps/>
          <w:kern w:val="2"/>
          <w:szCs w:val="30"/>
          <w:highlight w:val="none"/>
        </w:rPr>
        <w:br w:type="page"/>
      </w:r>
      <w:bookmarkStart w:id="30" w:name="_Toc15495"/>
      <w:bookmarkStart w:id="31" w:name="_Toc26121"/>
      <w:r>
        <w:rPr>
          <w:rFonts w:hint="eastAsia" w:ascii="宋体" w:hAnsi="宋体" w:cs="宋体"/>
          <w:caps/>
          <w:kern w:val="2"/>
          <w:szCs w:val="30"/>
          <w:highlight w:val="none"/>
        </w:rPr>
        <w:t>第四章 采购需求</w:t>
      </w:r>
      <w:bookmarkEnd w:id="30"/>
      <w:bookmarkEnd w:id="31"/>
    </w:p>
    <w:p w14:paraId="49B75905">
      <w:pPr>
        <w:pStyle w:val="6"/>
        <w:spacing w:line="500" w:lineRule="exact"/>
        <w:ind w:firstLine="424" w:firstLineChars="202"/>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一、项目基本情况</w:t>
      </w:r>
    </w:p>
    <w:p w14:paraId="3868C3BD">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霍山县绿色小水电建设工程（霍山县绿色水资源综合利用工程）包含9座电站，均需完成安全标准化达标并申报水利部及省水利厅绿色小水电示范站。为保证申报工作顺利完成，拟委托一家专业机构协助完成本项目相关工作。</w:t>
      </w:r>
    </w:p>
    <w:p w14:paraId="65BAC2A1">
      <w:pPr>
        <w:pStyle w:val="6"/>
        <w:spacing w:line="500" w:lineRule="exact"/>
        <w:ind w:firstLine="424" w:firstLineChars="202"/>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w:t>
      </w:r>
      <w:bookmarkStart w:id="32" w:name="_Toc11834"/>
      <w:r>
        <w:rPr>
          <w:rFonts w:hint="eastAsia" w:ascii="宋体" w:hAnsi="宋体" w:eastAsia="宋体" w:cs="宋体"/>
          <w:color w:val="000000"/>
          <w:sz w:val="21"/>
          <w:szCs w:val="21"/>
          <w:highlight w:val="none"/>
        </w:rPr>
        <w:t>项目依据</w:t>
      </w:r>
      <w:bookmarkEnd w:id="32"/>
    </w:p>
    <w:p w14:paraId="4AE77219">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33" w:name="_Toc35851328"/>
      <w:r>
        <w:rPr>
          <w:rFonts w:hint="eastAsia" w:ascii="宋体" w:hAnsi="宋体" w:eastAsia="宋体" w:cs="宋体"/>
          <w:color w:val="000000"/>
          <w:sz w:val="21"/>
          <w:szCs w:val="21"/>
          <w:highlight w:val="none"/>
          <w:lang w:val="en-US" w:eastAsia="zh-CN"/>
        </w:rPr>
        <w:t>1、《水利部关于推进绿色小水电发展的指导意见》（水电〔2016〕441号）；</w:t>
      </w:r>
    </w:p>
    <w:p w14:paraId="375E6DE8">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2、《水利部办公厅关于做好绿色小水电示范电站创建工作的通知》（办水电〔2023〕107号）及有关最新要求</w:t>
      </w:r>
      <w:bookmarkEnd w:id="33"/>
      <w:r>
        <w:rPr>
          <w:rFonts w:hint="eastAsia" w:ascii="宋体" w:hAnsi="宋体" w:eastAsia="宋体" w:cs="宋体"/>
          <w:color w:val="000000"/>
          <w:sz w:val="21"/>
          <w:szCs w:val="21"/>
          <w:highlight w:val="none"/>
          <w:lang w:val="en-US" w:eastAsia="zh-CN"/>
        </w:rPr>
        <w:t>；</w:t>
      </w:r>
    </w:p>
    <w:p w14:paraId="089DAD40">
      <w:pPr>
        <w:pStyle w:val="6"/>
        <w:spacing w:line="500" w:lineRule="exact"/>
        <w:ind w:firstLine="424" w:firstLineChars="202"/>
        <w:rPr>
          <w:rFonts w:hint="eastAsia" w:ascii="宋体" w:hAnsi="宋体" w:eastAsia="宋体" w:cs="宋体"/>
          <w:color w:val="000000"/>
          <w:sz w:val="21"/>
          <w:szCs w:val="21"/>
          <w:highlight w:val="none"/>
          <w:lang w:val="en" w:eastAsia="zh-CN"/>
        </w:rPr>
      </w:pPr>
      <w:bookmarkStart w:id="34" w:name="_Toc35851330"/>
      <w:r>
        <w:rPr>
          <w:rFonts w:hint="eastAsia" w:ascii="宋体" w:hAnsi="宋体" w:eastAsia="宋体" w:cs="宋体"/>
          <w:color w:val="000000"/>
          <w:sz w:val="21"/>
          <w:szCs w:val="21"/>
          <w:highlight w:val="none"/>
          <w:lang w:val="en-US" w:eastAsia="zh-CN"/>
        </w:rPr>
        <w:t>3、《绿色小水电示范电站创建申报审核工作手册（2024年修订版）》</w:t>
      </w:r>
      <w:bookmarkEnd w:id="34"/>
      <w:r>
        <w:rPr>
          <w:rFonts w:hint="eastAsia" w:ascii="宋体" w:hAnsi="宋体" w:eastAsia="宋体" w:cs="宋体"/>
          <w:color w:val="000000"/>
          <w:sz w:val="21"/>
          <w:szCs w:val="21"/>
          <w:highlight w:val="none"/>
          <w:lang w:val="en-US" w:eastAsia="zh-CN"/>
        </w:rPr>
        <w:t>；</w:t>
      </w:r>
    </w:p>
    <w:p w14:paraId="1B8E54B2">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4、《绿色小水电评价规程》（SL/T 752-2024）；</w:t>
      </w:r>
    </w:p>
    <w:p w14:paraId="2BF02C39">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5、水利部办公厅关于印发《智能化小型水电站技术指南（试行）》《小水电集控中心技术指南（试行）》的通知（办水电函〔2023〕596号）；</w:t>
      </w:r>
    </w:p>
    <w:p w14:paraId="6475954C">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6、《小型水电站安全生产标准化评审委员会办公室关于印发小型水电站安全生产标准化评审细则的通知》（国际函〔2024〕13号）；</w:t>
      </w:r>
    </w:p>
    <w:p w14:paraId="0C014C93">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8、安徽省水利厅最新文件要求。</w:t>
      </w:r>
    </w:p>
    <w:p w14:paraId="0275B1A9">
      <w:pPr>
        <w:pStyle w:val="6"/>
        <w:spacing w:line="500" w:lineRule="exact"/>
        <w:ind w:firstLine="424" w:firstLineChars="202"/>
        <w:rPr>
          <w:rFonts w:hint="eastAsia" w:ascii="宋体" w:hAnsi="宋体" w:eastAsia="宋体" w:cs="宋体"/>
          <w:color w:val="000000"/>
          <w:sz w:val="21"/>
          <w:szCs w:val="21"/>
          <w:highlight w:val="none"/>
        </w:rPr>
      </w:pPr>
      <w:bookmarkStart w:id="35" w:name="_Toc24852"/>
      <w:bookmarkStart w:id="36" w:name="_Toc35851332"/>
      <w:r>
        <w:rPr>
          <w:rFonts w:hint="eastAsia" w:ascii="宋体" w:hAnsi="宋体" w:eastAsia="宋体" w:cs="宋体"/>
          <w:color w:val="000000"/>
          <w:sz w:val="21"/>
          <w:szCs w:val="21"/>
          <w:highlight w:val="none"/>
        </w:rPr>
        <w:t>三、</w:t>
      </w:r>
      <w:bookmarkStart w:id="37" w:name="_Toc2306"/>
      <w:r>
        <w:rPr>
          <w:rFonts w:hint="eastAsia" w:ascii="宋体" w:hAnsi="宋体" w:eastAsia="宋体" w:cs="宋体"/>
          <w:color w:val="000000"/>
          <w:sz w:val="21"/>
          <w:szCs w:val="21"/>
          <w:highlight w:val="none"/>
        </w:rPr>
        <w:t>主要服务内容和要求</w:t>
      </w:r>
      <w:bookmarkEnd w:id="35"/>
      <w:bookmarkEnd w:id="36"/>
      <w:bookmarkEnd w:id="37"/>
    </w:p>
    <w:p w14:paraId="64FEE1C8">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38" w:name="_Toc35851333"/>
      <w:r>
        <w:rPr>
          <w:rFonts w:hint="eastAsia" w:ascii="宋体" w:hAnsi="宋体" w:eastAsia="宋体" w:cs="宋体"/>
          <w:color w:val="000000"/>
          <w:sz w:val="21"/>
          <w:szCs w:val="21"/>
          <w:highlight w:val="none"/>
          <w:lang w:val="en-US" w:eastAsia="zh-CN"/>
        </w:rPr>
        <w:t>（一）服务内容</w:t>
      </w:r>
      <w:bookmarkEnd w:id="38"/>
    </w:p>
    <w:p w14:paraId="208E06BE">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39" w:name="_Toc35851335"/>
      <w:r>
        <w:rPr>
          <w:rFonts w:hint="eastAsia" w:ascii="宋体" w:hAnsi="宋体" w:eastAsia="宋体" w:cs="宋体"/>
          <w:color w:val="000000"/>
          <w:sz w:val="21"/>
          <w:szCs w:val="21"/>
          <w:highlight w:val="none"/>
          <w:lang w:val="en-US" w:eastAsia="zh-CN"/>
        </w:rPr>
        <w:t>1、创建指导：</w:t>
      </w:r>
      <w:r>
        <w:rPr>
          <w:rFonts w:hint="eastAsia" w:ascii="宋体" w:hAnsi="宋体" w:eastAsia="宋体" w:cs="宋体"/>
          <w:color w:val="000000"/>
          <w:sz w:val="21"/>
          <w:szCs w:val="21"/>
          <w:highlight w:val="none"/>
          <w:lang w:val="en-US" w:eastAsia="zh-CN"/>
        </w:rPr>
        <w:t>根据《绿色小水电评价规程》和《小型水电站安全生产标准化评审细则》要求，</w:t>
      </w:r>
      <w:r>
        <w:rPr>
          <w:rFonts w:hint="eastAsia" w:ascii="宋体" w:hAnsi="宋体" w:eastAsia="宋体" w:cs="宋体"/>
          <w:color w:val="000000"/>
          <w:sz w:val="21"/>
          <w:szCs w:val="21"/>
          <w:highlight w:val="none"/>
          <w:lang w:val="en-US" w:eastAsia="zh-CN"/>
        </w:rPr>
        <w:t>在硬件建设（改造措施及工程方案）和软件建设（管理创新及人员培训）方面，逐站提出绿色小水电示范电站创建和安全生产标准达标的具体实施意见和现场服务。</w:t>
      </w:r>
      <w:bookmarkEnd w:id="39"/>
    </w:p>
    <w:p w14:paraId="715E7810">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2、视频制作：根据“办水电〔2023〕107号”文件要求拍摄制作绿色小水电示范电站申报视频。</w:t>
      </w:r>
    </w:p>
    <w:p w14:paraId="383B5C02">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0" w:name="_Toc35851336"/>
      <w:r>
        <w:rPr>
          <w:rFonts w:hint="eastAsia" w:ascii="宋体" w:hAnsi="宋体" w:eastAsia="宋体" w:cs="宋体"/>
          <w:color w:val="000000"/>
          <w:sz w:val="21"/>
          <w:szCs w:val="21"/>
          <w:highlight w:val="none"/>
          <w:lang w:val="en-US" w:eastAsia="zh-CN"/>
        </w:rPr>
        <w:t>3、申报指导：依据《评价规程》，并按照水利部绿色小水电示范电站首次申报审核要求，根据双方约定的时间进度及水利部、省水利厅有关进度要求，组织专家组对电站进行系统申报指导，跟踪协助处理水利部、安徽省水利厅审核意见，及时指导电站整改。</w:t>
      </w:r>
      <w:bookmarkEnd w:id="40"/>
    </w:p>
    <w:p w14:paraId="646AD3BA">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4、水利部、安徽省水利厅最新文件要求如与以上服务内容不一致时，以最新文件要求实施。</w:t>
      </w:r>
    </w:p>
    <w:p w14:paraId="1B70DD33">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1" w:name="_Toc35851342"/>
      <w:r>
        <w:rPr>
          <w:rFonts w:hint="eastAsia" w:ascii="宋体" w:hAnsi="宋体" w:eastAsia="宋体" w:cs="宋体"/>
          <w:color w:val="000000"/>
          <w:sz w:val="21"/>
          <w:szCs w:val="21"/>
          <w:highlight w:val="none"/>
          <w:lang w:val="en-US" w:eastAsia="zh-CN"/>
        </w:rPr>
        <w:t>（二）技术要求</w:t>
      </w:r>
      <w:bookmarkEnd w:id="41"/>
    </w:p>
    <w:p w14:paraId="69D26DEA">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2" w:name="_Toc35851343"/>
      <w:r>
        <w:rPr>
          <w:rFonts w:hint="eastAsia" w:ascii="宋体" w:hAnsi="宋体" w:eastAsia="宋体" w:cs="宋体"/>
          <w:color w:val="000000"/>
          <w:sz w:val="21"/>
          <w:szCs w:val="21"/>
          <w:highlight w:val="none"/>
          <w:lang w:val="en-US" w:eastAsia="zh-CN"/>
        </w:rPr>
        <w:t>1、供应商须按有关标准及规范完成本次招标项目的指导服务、评审、申报等各项工作，并保证成果资料的精确性和可靠性。具体服务内容由供应商在响应文件中提供。</w:t>
      </w:r>
      <w:bookmarkEnd w:id="42"/>
    </w:p>
    <w:p w14:paraId="56DE586D">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3" w:name="_Toc35851344"/>
      <w:r>
        <w:rPr>
          <w:rFonts w:hint="eastAsia" w:ascii="宋体" w:hAnsi="宋体" w:eastAsia="宋体" w:cs="宋体"/>
          <w:color w:val="000000"/>
          <w:sz w:val="21"/>
          <w:szCs w:val="21"/>
          <w:highlight w:val="none"/>
          <w:lang w:val="en-US" w:eastAsia="zh-CN"/>
        </w:rPr>
        <w:t>2、供应商应保证提供的成果资料符合国家的相关法律、法规、规定和标准。</w:t>
      </w:r>
      <w:bookmarkEnd w:id="43"/>
    </w:p>
    <w:p w14:paraId="13174AD6">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4" w:name="_Toc35851345"/>
      <w:r>
        <w:rPr>
          <w:rFonts w:hint="eastAsia" w:ascii="宋体" w:hAnsi="宋体" w:eastAsia="宋体" w:cs="宋体"/>
          <w:color w:val="000000"/>
          <w:sz w:val="21"/>
          <w:szCs w:val="21"/>
          <w:highlight w:val="none"/>
          <w:lang w:val="en-US" w:eastAsia="zh-CN"/>
        </w:rPr>
        <w:t>3、国家规定的标准和规范，有新标准按新标准执行</w:t>
      </w:r>
      <w:bookmarkEnd w:id="44"/>
      <w:r>
        <w:rPr>
          <w:rFonts w:hint="eastAsia" w:ascii="宋体" w:hAnsi="宋体" w:eastAsia="宋体" w:cs="宋体"/>
          <w:color w:val="000000"/>
          <w:sz w:val="21"/>
          <w:szCs w:val="21"/>
          <w:highlight w:val="none"/>
          <w:lang w:val="en-US" w:eastAsia="zh-CN"/>
        </w:rPr>
        <w:t>。</w:t>
      </w:r>
    </w:p>
    <w:p w14:paraId="27AE7F6A">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5" w:name="_Toc35851346"/>
      <w:r>
        <w:rPr>
          <w:rFonts w:hint="eastAsia" w:ascii="宋体" w:hAnsi="宋体" w:eastAsia="宋体" w:cs="宋体"/>
          <w:color w:val="000000"/>
          <w:sz w:val="21"/>
          <w:szCs w:val="21"/>
          <w:highlight w:val="none"/>
          <w:lang w:val="en-US" w:eastAsia="zh-CN"/>
        </w:rPr>
        <w:t>4、行业标准和规范，有新标准的按新标准执行。</w:t>
      </w:r>
      <w:bookmarkEnd w:id="45"/>
    </w:p>
    <w:p w14:paraId="4AE9A53C">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四、服务时间</w:t>
      </w:r>
    </w:p>
    <w:p w14:paraId="38783154">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服务期限为自合同签订之日起至电站通过绿色小水电示范电站部级审核之日止。</w:t>
      </w:r>
    </w:p>
    <w:p w14:paraId="2DEB6980">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6" w:name="_Toc28433"/>
      <w:bookmarkStart w:id="47" w:name="_Toc35851348"/>
      <w:r>
        <w:rPr>
          <w:rFonts w:hint="eastAsia" w:ascii="宋体" w:hAnsi="宋体" w:eastAsia="宋体" w:cs="宋体"/>
          <w:color w:val="000000"/>
          <w:sz w:val="21"/>
          <w:szCs w:val="21"/>
          <w:highlight w:val="none"/>
          <w:lang w:val="en-US" w:eastAsia="zh-CN"/>
        </w:rPr>
        <w:t>五、主要服务时间节点要求</w:t>
      </w:r>
      <w:bookmarkEnd w:id="46"/>
      <w:bookmarkEnd w:id="47"/>
    </w:p>
    <w:p w14:paraId="58C92247">
      <w:pPr>
        <w:pStyle w:val="6"/>
        <w:spacing w:line="500" w:lineRule="exact"/>
        <w:ind w:firstLine="424" w:firstLineChars="202"/>
        <w:rPr>
          <w:rFonts w:hint="eastAsia" w:ascii="宋体" w:hAnsi="宋体" w:eastAsia="宋体" w:cs="宋体"/>
          <w:color w:val="000000"/>
          <w:sz w:val="21"/>
          <w:szCs w:val="21"/>
          <w:highlight w:val="none"/>
          <w:lang w:val="en-US" w:eastAsia="zh-CN"/>
        </w:rPr>
      </w:pPr>
      <w:bookmarkStart w:id="48" w:name="_Toc27743"/>
      <w:bookmarkStart w:id="49" w:name="_Toc35851353"/>
      <w:r>
        <w:rPr>
          <w:rFonts w:hint="eastAsia" w:ascii="宋体" w:hAnsi="宋体" w:eastAsia="宋体" w:cs="宋体"/>
          <w:color w:val="000000"/>
          <w:sz w:val="21"/>
          <w:szCs w:val="21"/>
          <w:highlight w:val="none"/>
          <w:lang w:val="en-US" w:eastAsia="zh-CN"/>
        </w:rPr>
        <w:t>1、2024年8月31日前，以生态流量保障为重点，对电站进行全面系统的评估，从硬件建设（改造措施及工程方案）和软件建设（管理创新及人员培训）方面提出改进建议，并就具体复核工作提供指导；组织专家赴现场复核各电站的硬件软件建设情况；拍摄绿色小水电示范电站申报视频；对照《绿色小水电评价规程》和</w:t>
      </w:r>
      <w:r>
        <w:rPr>
          <w:rFonts w:hint="eastAsia" w:ascii="宋体" w:hAnsi="宋体" w:eastAsia="宋体" w:cs="宋体"/>
          <w:color w:val="000000"/>
          <w:sz w:val="21"/>
          <w:szCs w:val="21"/>
          <w:highlight w:val="none"/>
          <w:lang w:val="en-US" w:eastAsia="zh-CN"/>
        </w:rPr>
        <w:t>《小型水电站安全生产标准化评审细则》</w:t>
      </w:r>
      <w:r>
        <w:rPr>
          <w:rFonts w:hint="eastAsia" w:ascii="宋体" w:hAnsi="宋体" w:eastAsia="宋体" w:cs="宋体"/>
          <w:color w:val="000000"/>
          <w:sz w:val="21"/>
          <w:szCs w:val="21"/>
          <w:highlight w:val="none"/>
          <w:lang w:val="en-US" w:eastAsia="zh-CN"/>
        </w:rPr>
        <w:t>对各电站进行系统申报指导。</w:t>
      </w:r>
    </w:p>
    <w:p w14:paraId="4D0EDBD3">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2、2024年10月31日前，跟踪协助处理水利部、安徽省水利厅审核意见，及时指导电站整改。</w:t>
      </w:r>
    </w:p>
    <w:p w14:paraId="6515B8B8">
      <w:pPr>
        <w:pStyle w:val="6"/>
        <w:spacing w:line="500" w:lineRule="exact"/>
        <w:ind w:firstLine="424" w:firstLineChars="202"/>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3、具体服务时间与水利部、安徽省水利厅最新文件要求不一致时，以最新文件要求实施。</w:t>
      </w:r>
    </w:p>
    <w:p w14:paraId="7CE2A5B5">
      <w:pPr>
        <w:pStyle w:val="6"/>
        <w:spacing w:line="500" w:lineRule="exact"/>
        <w:ind w:firstLine="424" w:firstLineChars="202"/>
        <w:rPr>
          <w:rFonts w:hint="default" w:ascii="宋体" w:hAnsi="宋体" w:eastAsia="宋体" w:cs="宋体"/>
          <w:color w:val="000000"/>
          <w:sz w:val="21"/>
          <w:szCs w:val="21"/>
          <w:highlight w:val="none"/>
          <w:lang w:val="en-US" w:eastAsia="zh-CN"/>
        </w:rPr>
      </w:pPr>
      <w:r>
        <w:rPr>
          <w:rFonts w:hint="default" w:ascii="宋体" w:hAnsi="宋体" w:eastAsia="宋体" w:cs="宋体"/>
          <w:color w:val="000000"/>
          <w:sz w:val="21"/>
          <w:szCs w:val="21"/>
          <w:highlight w:val="none"/>
          <w:lang w:val="en-US" w:eastAsia="zh-CN"/>
        </w:rPr>
        <w:t>六、</w:t>
      </w:r>
      <w:bookmarkStart w:id="50" w:name="_Toc27396"/>
      <w:r>
        <w:rPr>
          <w:rFonts w:hint="default" w:ascii="宋体" w:hAnsi="宋体" w:eastAsia="宋体" w:cs="宋体"/>
          <w:color w:val="000000"/>
          <w:sz w:val="21"/>
          <w:szCs w:val="21"/>
          <w:highlight w:val="none"/>
          <w:lang w:val="en-US" w:eastAsia="zh-CN"/>
        </w:rPr>
        <w:t>项目成果要求</w:t>
      </w:r>
      <w:bookmarkEnd w:id="48"/>
      <w:bookmarkEnd w:id="49"/>
      <w:bookmarkEnd w:id="50"/>
    </w:p>
    <w:p w14:paraId="17C5E9B8">
      <w:pPr>
        <w:pStyle w:val="6"/>
        <w:spacing w:line="500" w:lineRule="exact"/>
        <w:ind w:firstLine="424" w:firstLineChars="202"/>
        <w:rPr>
          <w:rFonts w:hint="default" w:ascii="宋体" w:hAnsi="宋体" w:eastAsia="宋体" w:cs="宋体"/>
          <w:color w:val="000000"/>
          <w:sz w:val="21"/>
          <w:szCs w:val="21"/>
          <w:highlight w:val="none"/>
          <w:lang w:val="en-US" w:eastAsia="zh-CN"/>
        </w:rPr>
      </w:pPr>
      <w:bookmarkStart w:id="51" w:name="_Toc35851354"/>
      <w:r>
        <w:rPr>
          <w:rFonts w:hint="default" w:ascii="宋体" w:hAnsi="宋体" w:eastAsia="宋体" w:cs="宋体"/>
          <w:color w:val="000000"/>
          <w:sz w:val="21"/>
          <w:szCs w:val="21"/>
          <w:highlight w:val="none"/>
          <w:lang w:val="en-US" w:eastAsia="zh-CN"/>
        </w:rPr>
        <w:t>在规定时间内完成</w:t>
      </w:r>
      <w:r>
        <w:rPr>
          <w:rFonts w:hint="eastAsia" w:ascii="宋体" w:hAnsi="宋体" w:eastAsia="宋体" w:cs="宋体"/>
          <w:color w:val="000000"/>
          <w:sz w:val="21"/>
          <w:szCs w:val="21"/>
          <w:highlight w:val="none"/>
          <w:lang w:val="en-US" w:eastAsia="zh-CN"/>
        </w:rPr>
        <w:t>现场指导和</w:t>
      </w:r>
      <w:r>
        <w:rPr>
          <w:rFonts w:hint="default" w:ascii="宋体" w:hAnsi="宋体" w:eastAsia="宋体" w:cs="宋体"/>
          <w:color w:val="000000"/>
          <w:sz w:val="21"/>
          <w:szCs w:val="21"/>
          <w:highlight w:val="none"/>
          <w:lang w:val="en-US" w:eastAsia="zh-CN"/>
        </w:rPr>
        <w:t>系统填报工作。</w:t>
      </w:r>
      <w:bookmarkEnd w:id="51"/>
    </w:p>
    <w:p w14:paraId="44A84A1F">
      <w:pPr>
        <w:keepNext w:val="0"/>
        <w:keepLines w:val="0"/>
        <w:pageBreakBefore w:val="0"/>
        <w:widowControl/>
        <w:shd w:val="clear" w:color="auto" w:fill="FFFFFF"/>
        <w:kinsoku/>
        <w:wordWrap/>
        <w:overflowPunct/>
        <w:topLinePunct w:val="0"/>
        <w:autoSpaceDE/>
        <w:autoSpaceDN/>
        <w:bidi w:val="0"/>
        <w:adjustRightInd w:val="0"/>
        <w:snapToGrid/>
        <w:spacing w:line="360" w:lineRule="auto"/>
        <w:ind w:firstLine="420" w:firstLineChars="200"/>
        <w:jc w:val="left"/>
        <w:textAlignment w:val="auto"/>
        <w:rPr>
          <w:rFonts w:ascii="宋体" w:hAnsi="宋体" w:cs="宋体"/>
          <w:szCs w:val="21"/>
          <w:highlight w:val="none"/>
        </w:rPr>
      </w:pPr>
    </w:p>
    <w:p w14:paraId="7B085F56">
      <w:pPr>
        <w:pStyle w:val="16"/>
        <w:rPr>
          <w:rFonts w:hint="eastAsia"/>
          <w:sz w:val="20"/>
          <w:szCs w:val="18"/>
          <w:highlight w:val="none"/>
          <w:lang w:val="zh-CN"/>
        </w:rPr>
      </w:pPr>
    </w:p>
    <w:p w14:paraId="7448E11B">
      <w:pPr>
        <w:pStyle w:val="3"/>
        <w:adjustRightInd w:val="0"/>
        <w:snapToGrid w:val="0"/>
        <w:spacing w:before="156" w:beforeLines="50" w:after="156" w:afterLines="50" w:line="440" w:lineRule="exact"/>
        <w:jc w:val="center"/>
        <w:rPr>
          <w:rFonts w:hint="eastAsia" w:ascii="宋体" w:hAnsi="宋体"/>
          <w:b w:val="0"/>
          <w:kern w:val="10"/>
          <w:sz w:val="24"/>
          <w:szCs w:val="24"/>
          <w:highlight w:val="none"/>
        </w:rPr>
      </w:pPr>
      <w:r>
        <w:rPr>
          <w:rFonts w:hint="eastAsia" w:ascii="宋体" w:hAnsi="宋体" w:cs="宋体"/>
          <w:caps/>
          <w:kern w:val="2"/>
          <w:szCs w:val="30"/>
          <w:highlight w:val="none"/>
          <w:lang w:val="zh-CN"/>
        </w:rPr>
        <w:br w:type="page"/>
      </w:r>
      <w:bookmarkStart w:id="52" w:name="_Toc20469"/>
      <w:bookmarkStart w:id="53" w:name="_Toc29555"/>
      <w:r>
        <w:rPr>
          <w:rFonts w:hint="eastAsia" w:ascii="宋体" w:hAnsi="宋体" w:cs="宋体"/>
          <w:caps/>
          <w:kern w:val="2"/>
          <w:szCs w:val="30"/>
          <w:highlight w:val="none"/>
          <w:lang w:val="zh-CN"/>
        </w:rPr>
        <w:t>第</w:t>
      </w:r>
      <w:r>
        <w:rPr>
          <w:rFonts w:hint="eastAsia" w:ascii="宋体" w:hAnsi="宋体" w:cs="宋体"/>
          <w:caps/>
          <w:kern w:val="2"/>
          <w:szCs w:val="30"/>
          <w:highlight w:val="none"/>
        </w:rPr>
        <w:t>五</w:t>
      </w:r>
      <w:r>
        <w:rPr>
          <w:rFonts w:hint="eastAsia" w:ascii="宋体" w:hAnsi="宋体" w:cs="宋体"/>
          <w:caps/>
          <w:kern w:val="2"/>
          <w:szCs w:val="30"/>
          <w:highlight w:val="none"/>
          <w:lang w:val="zh-CN"/>
        </w:rPr>
        <w:t>章 评审办法</w:t>
      </w:r>
      <w:bookmarkEnd w:id="52"/>
      <w:bookmarkEnd w:id="53"/>
    </w:p>
    <w:p w14:paraId="58141B37">
      <w:pPr>
        <w:adjustRightInd w:val="0"/>
        <w:snapToGrid w:val="0"/>
        <w:spacing w:before="156" w:beforeLines="50" w:after="156" w:afterLines="50" w:line="300" w:lineRule="exact"/>
        <w:jc w:val="center"/>
        <w:outlineLvl w:val="1"/>
        <w:rPr>
          <w:rFonts w:hint="eastAsia" w:ascii="宋体" w:hAnsi="宋体"/>
          <w:b/>
          <w:kern w:val="10"/>
          <w:sz w:val="24"/>
          <w:szCs w:val="24"/>
          <w:highlight w:val="none"/>
        </w:rPr>
      </w:pPr>
      <w:r>
        <w:rPr>
          <w:rFonts w:hint="eastAsia" w:ascii="宋体" w:hAnsi="宋体"/>
          <w:b/>
          <w:kern w:val="10"/>
          <w:sz w:val="24"/>
          <w:szCs w:val="24"/>
          <w:highlight w:val="none"/>
        </w:rPr>
        <w:t>评审办法前附表一（资格审查指标表）</w:t>
      </w:r>
    </w:p>
    <w:tbl>
      <w:tblPr>
        <w:tblStyle w:val="20"/>
        <w:tblW w:w="0" w:type="auto"/>
        <w:tblInd w:w="0" w:type="dxa"/>
        <w:tblLayout w:type="fixed"/>
        <w:tblCellMar>
          <w:top w:w="0" w:type="dxa"/>
          <w:left w:w="108" w:type="dxa"/>
          <w:bottom w:w="0" w:type="dxa"/>
          <w:right w:w="108" w:type="dxa"/>
        </w:tblCellMar>
      </w:tblPr>
      <w:tblGrid>
        <w:gridCol w:w="821"/>
        <w:gridCol w:w="2231"/>
        <w:gridCol w:w="6611"/>
      </w:tblGrid>
      <w:tr w14:paraId="1CA9B39F">
        <w:tblPrEx>
          <w:tblCellMar>
            <w:top w:w="0" w:type="dxa"/>
            <w:left w:w="108" w:type="dxa"/>
            <w:bottom w:w="0" w:type="dxa"/>
            <w:right w:w="108" w:type="dxa"/>
          </w:tblCellMar>
        </w:tblPrEx>
        <w:trPr>
          <w:trHeight w:val="483" w:hRule="atLeast"/>
        </w:trPr>
        <w:tc>
          <w:tcPr>
            <w:tcW w:w="821" w:type="dxa"/>
            <w:tcBorders>
              <w:top w:val="single" w:color="auto" w:sz="4" w:space="0"/>
              <w:left w:val="single" w:color="auto" w:sz="4" w:space="0"/>
              <w:bottom w:val="single" w:color="auto" w:sz="4" w:space="0"/>
              <w:right w:val="single" w:color="auto" w:sz="4" w:space="0"/>
            </w:tcBorders>
            <w:noWrap w:val="0"/>
            <w:vAlign w:val="center"/>
          </w:tcPr>
          <w:p w14:paraId="2C16741C">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szCs w:val="21"/>
                <w:highlight w:val="none"/>
              </w:rPr>
            </w:pPr>
            <w:r>
              <w:rPr>
                <w:rFonts w:hint="eastAsia" w:ascii="宋体" w:hAnsi="宋体"/>
                <w:b/>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59EC7C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szCs w:val="21"/>
                <w:highlight w:val="none"/>
              </w:rPr>
            </w:pPr>
            <w:r>
              <w:rPr>
                <w:rFonts w:hint="eastAsia" w:ascii="宋体" w:hAnsi="宋体"/>
                <w:b/>
                <w:szCs w:val="21"/>
                <w:highlight w:val="none"/>
              </w:rPr>
              <w:t>评审因素</w:t>
            </w:r>
          </w:p>
        </w:tc>
        <w:tc>
          <w:tcPr>
            <w:tcW w:w="6611" w:type="dxa"/>
            <w:tcBorders>
              <w:top w:val="single" w:color="auto" w:sz="4" w:space="0"/>
              <w:left w:val="single" w:color="auto" w:sz="4" w:space="0"/>
              <w:bottom w:val="single" w:color="auto" w:sz="4" w:space="0"/>
              <w:right w:val="single" w:color="auto" w:sz="4" w:space="0"/>
            </w:tcBorders>
            <w:noWrap w:val="0"/>
            <w:vAlign w:val="center"/>
          </w:tcPr>
          <w:p w14:paraId="2F1CC101">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b/>
                <w:szCs w:val="21"/>
                <w:highlight w:val="none"/>
              </w:rPr>
            </w:pPr>
            <w:r>
              <w:rPr>
                <w:rFonts w:hint="eastAsia" w:ascii="宋体" w:hAnsi="宋体"/>
                <w:b/>
                <w:szCs w:val="21"/>
                <w:highlight w:val="none"/>
              </w:rPr>
              <w:t>谈判资格评审标准</w:t>
            </w:r>
          </w:p>
        </w:tc>
      </w:tr>
      <w:tr w14:paraId="3AEABA9A">
        <w:tblPrEx>
          <w:tblCellMar>
            <w:top w:w="0" w:type="dxa"/>
            <w:left w:w="108" w:type="dxa"/>
            <w:bottom w:w="0" w:type="dxa"/>
            <w:right w:w="108" w:type="dxa"/>
          </w:tblCellMar>
        </w:tblPrEx>
        <w:trPr>
          <w:trHeight w:val="2171" w:hRule="atLeast"/>
        </w:trPr>
        <w:tc>
          <w:tcPr>
            <w:tcW w:w="821" w:type="dxa"/>
            <w:tcBorders>
              <w:top w:val="single" w:color="auto" w:sz="4" w:space="0"/>
              <w:left w:val="single" w:color="auto" w:sz="4" w:space="0"/>
              <w:bottom w:val="single" w:color="auto" w:sz="4" w:space="0"/>
              <w:right w:val="single" w:color="auto" w:sz="4" w:space="0"/>
            </w:tcBorders>
            <w:noWrap w:val="0"/>
            <w:vAlign w:val="center"/>
          </w:tcPr>
          <w:p w14:paraId="5A2750CD">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B14B586">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授权委托书及</w:t>
            </w:r>
          </w:p>
          <w:p w14:paraId="21B9D78D">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代理人身份证</w:t>
            </w:r>
          </w:p>
        </w:tc>
        <w:tc>
          <w:tcPr>
            <w:tcW w:w="6611" w:type="dxa"/>
            <w:tcBorders>
              <w:top w:val="single" w:color="auto" w:sz="4" w:space="0"/>
              <w:left w:val="single" w:color="auto" w:sz="4" w:space="0"/>
              <w:bottom w:val="single" w:color="auto" w:sz="4" w:space="0"/>
              <w:right w:val="single" w:color="auto" w:sz="4" w:space="0"/>
            </w:tcBorders>
            <w:noWrap w:val="0"/>
            <w:vAlign w:val="center"/>
          </w:tcPr>
          <w:p w14:paraId="57A9DDE8">
            <w:pPr>
              <w:adjustRightInd w:val="0"/>
              <w:snapToGrid w:val="0"/>
              <w:spacing w:line="320" w:lineRule="exact"/>
              <w:jc w:val="both"/>
              <w:rPr>
                <w:rFonts w:hint="eastAsia" w:ascii="宋体" w:hAnsi="宋体"/>
                <w:szCs w:val="21"/>
                <w:highlight w:val="none"/>
              </w:rPr>
            </w:pPr>
            <w:r>
              <w:rPr>
                <w:rFonts w:hint="eastAsia" w:ascii="宋体" w:hAnsi="宋体"/>
                <w:szCs w:val="21"/>
                <w:highlight w:val="none"/>
              </w:rPr>
              <w:t>若法定代表人本人参加开标会则只需查验身份证原件；若代理人参加开标会则需查验法定代表人授权委托书原件和代理人身份证原件</w:t>
            </w:r>
            <w:r>
              <w:rPr>
                <w:rFonts w:hint="eastAsia" w:ascii="宋体"/>
                <w:szCs w:val="21"/>
                <w:highlight w:val="none"/>
              </w:rPr>
              <w:t>（</w:t>
            </w:r>
            <w:r>
              <w:rPr>
                <w:rFonts w:hint="eastAsia" w:ascii="宋体"/>
                <w:b/>
                <w:bCs/>
                <w:szCs w:val="21"/>
                <w:highlight w:val="none"/>
              </w:rPr>
              <w:t>需在谈判文件中提供授权委托书及身份证的复印件并加盖供应商公章，评标现场查验原件。</w:t>
            </w:r>
            <w:r>
              <w:rPr>
                <w:rFonts w:hint="eastAsia" w:ascii="宋体" w:hAnsi="宋体" w:cs="宋体"/>
                <w:b/>
                <w:bCs/>
                <w:szCs w:val="21"/>
                <w:highlight w:val="none"/>
                <w:u w:val="single"/>
              </w:rPr>
              <w:t>代理人参加投标的，</w:t>
            </w:r>
            <w:r>
              <w:rPr>
                <w:rFonts w:hint="eastAsia" w:ascii="宋体" w:hAnsi="宋体" w:cs="宋体"/>
                <w:bCs/>
                <w:szCs w:val="21"/>
                <w:highlight w:val="none"/>
                <w:u w:val="single"/>
              </w:rPr>
              <w:t>如开标现场其未单独提交法人授权委托书，且投标文件也未有法人授权委托书原件，其投标文件按照无效投标处理</w:t>
            </w:r>
            <w:r>
              <w:rPr>
                <w:rFonts w:hint="eastAsia" w:ascii="宋体"/>
                <w:b/>
                <w:bCs/>
                <w:szCs w:val="21"/>
                <w:highlight w:val="none"/>
              </w:rPr>
              <w:t>）</w:t>
            </w:r>
            <w:r>
              <w:rPr>
                <w:rFonts w:hint="eastAsia" w:ascii="宋体" w:hAnsi="宋体"/>
                <w:szCs w:val="21"/>
                <w:highlight w:val="none"/>
              </w:rPr>
              <w:t>。</w:t>
            </w:r>
          </w:p>
        </w:tc>
      </w:tr>
      <w:tr w14:paraId="18BF68B7">
        <w:tblPrEx>
          <w:tblCellMar>
            <w:top w:w="0" w:type="dxa"/>
            <w:left w:w="108" w:type="dxa"/>
            <w:bottom w:w="0" w:type="dxa"/>
            <w:right w:w="108" w:type="dxa"/>
          </w:tblCellMar>
        </w:tblPrEx>
        <w:trPr>
          <w:trHeight w:val="783" w:hRule="atLeast"/>
        </w:trPr>
        <w:tc>
          <w:tcPr>
            <w:tcW w:w="821" w:type="dxa"/>
            <w:tcBorders>
              <w:top w:val="single" w:color="auto" w:sz="4" w:space="0"/>
              <w:left w:val="single" w:color="auto" w:sz="4" w:space="0"/>
              <w:bottom w:val="single" w:color="auto" w:sz="4" w:space="0"/>
              <w:right w:val="single" w:color="auto" w:sz="4" w:space="0"/>
            </w:tcBorders>
            <w:noWrap w:val="0"/>
            <w:vAlign w:val="center"/>
          </w:tcPr>
          <w:p w14:paraId="42A24BE0">
            <w:pPr>
              <w:adjustRightInd w:val="0"/>
              <w:snapToGrid w:val="0"/>
              <w:spacing w:line="320" w:lineRule="exact"/>
              <w:jc w:val="center"/>
              <w:rPr>
                <w:rFonts w:hint="eastAsia" w:ascii="宋体" w:hAnsi="宋体"/>
                <w:szCs w:val="21"/>
                <w:highlight w:val="none"/>
              </w:rPr>
            </w:pPr>
            <w:r>
              <w:rPr>
                <w:rFonts w:hint="eastAsia" w:ascii="宋体" w:hAnsi="宋体"/>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6371E44">
            <w:pPr>
              <w:adjustRightInd w:val="0"/>
              <w:snapToGrid w:val="0"/>
              <w:spacing w:line="320" w:lineRule="exact"/>
              <w:jc w:val="center"/>
              <w:rPr>
                <w:rFonts w:hint="eastAsia" w:ascii="宋体" w:hAnsi="宋体" w:eastAsia="宋体"/>
                <w:szCs w:val="21"/>
                <w:highlight w:val="none"/>
                <w:lang w:eastAsia="zh-CN"/>
              </w:rPr>
            </w:pPr>
            <w:r>
              <w:rPr>
                <w:rFonts w:hint="eastAsia" w:cs="宋体"/>
                <w:color w:val="000000"/>
                <w:spacing w:val="-2"/>
                <w:szCs w:val="21"/>
                <w:highlight w:val="none"/>
              </w:rPr>
              <w:t>供应商须具有有效的营业执照或事业单位法人证书</w:t>
            </w:r>
          </w:p>
        </w:tc>
        <w:tc>
          <w:tcPr>
            <w:tcW w:w="6611" w:type="dxa"/>
            <w:tcBorders>
              <w:top w:val="single" w:color="auto" w:sz="4" w:space="0"/>
              <w:left w:val="single" w:color="auto" w:sz="4" w:space="0"/>
              <w:bottom w:val="single" w:color="auto" w:sz="4" w:space="0"/>
              <w:right w:val="single" w:color="auto" w:sz="4" w:space="0"/>
            </w:tcBorders>
            <w:noWrap w:val="0"/>
            <w:vAlign w:val="center"/>
          </w:tcPr>
          <w:p w14:paraId="319B77D3">
            <w:pPr>
              <w:spacing w:line="300" w:lineRule="exact"/>
              <w:rPr>
                <w:rFonts w:hint="eastAsia" w:ascii="宋体" w:hAnsi="宋体" w:cs="宋体"/>
                <w:spacing w:val="-2"/>
                <w:szCs w:val="21"/>
                <w:highlight w:val="none"/>
              </w:rPr>
            </w:pPr>
            <w:r>
              <w:rPr>
                <w:rFonts w:hint="eastAsia" w:cs="宋体"/>
                <w:color w:val="000000"/>
                <w:spacing w:val="-2"/>
                <w:szCs w:val="21"/>
                <w:highlight w:val="none"/>
              </w:rPr>
              <w:t>营业执照正本或副本</w:t>
            </w:r>
            <w:r>
              <w:rPr>
                <w:rFonts w:hint="eastAsia" w:cs="宋体"/>
                <w:color w:val="000000"/>
                <w:spacing w:val="-2"/>
                <w:szCs w:val="21"/>
                <w:highlight w:val="none"/>
                <w:lang w:val="en-US" w:eastAsia="zh-CN"/>
              </w:rPr>
              <w:t>或事业单位法人证书</w:t>
            </w:r>
            <w:r>
              <w:rPr>
                <w:rFonts w:hint="eastAsia" w:cs="宋体"/>
                <w:color w:val="000000"/>
                <w:spacing w:val="-2"/>
                <w:szCs w:val="21"/>
                <w:highlight w:val="none"/>
              </w:rPr>
              <w:t>（</w:t>
            </w:r>
            <w:r>
              <w:rPr>
                <w:rFonts w:hint="eastAsia" w:cs="宋体"/>
                <w:b/>
                <w:bCs/>
                <w:color w:val="000000"/>
                <w:spacing w:val="-2"/>
                <w:szCs w:val="21"/>
                <w:highlight w:val="none"/>
              </w:rPr>
              <w:t>响应文件中需提供加盖</w:t>
            </w:r>
            <w:r>
              <w:rPr>
                <w:rFonts w:hint="eastAsia" w:cs="宋体"/>
                <w:b/>
                <w:bCs/>
                <w:color w:val="000000"/>
                <w:spacing w:val="-2"/>
                <w:szCs w:val="21"/>
                <w:highlight w:val="none"/>
                <w:lang w:eastAsia="zh-CN"/>
              </w:rPr>
              <w:t>供应商</w:t>
            </w:r>
            <w:r>
              <w:rPr>
                <w:rFonts w:hint="eastAsia" w:cs="宋体"/>
                <w:b/>
                <w:bCs/>
                <w:color w:val="000000"/>
                <w:spacing w:val="-2"/>
                <w:szCs w:val="21"/>
                <w:highlight w:val="none"/>
              </w:rPr>
              <w:t>公章的复印件</w:t>
            </w:r>
            <w:r>
              <w:rPr>
                <w:rFonts w:hint="eastAsia" w:cs="宋体"/>
                <w:color w:val="000000"/>
                <w:spacing w:val="-2"/>
                <w:szCs w:val="21"/>
                <w:highlight w:val="none"/>
              </w:rPr>
              <w:t>）。</w:t>
            </w:r>
          </w:p>
        </w:tc>
      </w:tr>
    </w:tbl>
    <w:p w14:paraId="183BAE63">
      <w:pPr>
        <w:adjustRightInd w:val="0"/>
        <w:snapToGrid w:val="0"/>
        <w:spacing w:line="320" w:lineRule="exact"/>
        <w:rPr>
          <w:rFonts w:hint="eastAsia" w:ascii="宋体" w:hAnsi="宋体"/>
          <w:kern w:val="10"/>
          <w:szCs w:val="21"/>
          <w:highlight w:val="none"/>
        </w:rPr>
      </w:pPr>
      <w:r>
        <w:rPr>
          <w:rFonts w:hint="eastAsia" w:ascii="宋体" w:hAnsi="宋体"/>
          <w:b/>
          <w:kern w:val="10"/>
          <w:szCs w:val="21"/>
          <w:highlight w:val="none"/>
        </w:rPr>
        <w:t>资格审查不合格，</w:t>
      </w:r>
      <w:r>
        <w:rPr>
          <w:rFonts w:hint="eastAsia" w:ascii="宋体" w:hAnsi="宋体"/>
          <w:b/>
          <w:szCs w:val="21"/>
          <w:highlight w:val="none"/>
        </w:rPr>
        <w:t>谈判响应文件按无效处理</w:t>
      </w:r>
      <w:r>
        <w:rPr>
          <w:rFonts w:hint="eastAsia" w:ascii="宋体" w:hAnsi="宋体"/>
          <w:kern w:val="10"/>
          <w:szCs w:val="21"/>
          <w:highlight w:val="none"/>
        </w:rPr>
        <w:t>。</w:t>
      </w:r>
    </w:p>
    <w:p w14:paraId="5B2D6CAB">
      <w:pPr>
        <w:adjustRightInd w:val="0"/>
        <w:snapToGrid w:val="0"/>
        <w:spacing w:line="320" w:lineRule="exact"/>
        <w:rPr>
          <w:rFonts w:hint="eastAsia" w:ascii="宋体" w:hAnsi="宋体"/>
          <w:kern w:val="10"/>
          <w:szCs w:val="21"/>
          <w:highlight w:val="none"/>
        </w:rPr>
      </w:pPr>
    </w:p>
    <w:p w14:paraId="26B786F6">
      <w:pPr>
        <w:keepNext w:val="0"/>
        <w:keepLines w:val="0"/>
        <w:pageBreakBefore w:val="0"/>
        <w:widowControl w:val="0"/>
        <w:kinsoku/>
        <w:wordWrap/>
        <w:overflowPunct/>
        <w:topLinePunct w:val="0"/>
        <w:autoSpaceDE/>
        <w:autoSpaceDN/>
        <w:bidi w:val="0"/>
        <w:adjustRightInd w:val="0"/>
        <w:snapToGrid w:val="0"/>
        <w:spacing w:after="157" w:afterLines="50" w:line="240" w:lineRule="auto"/>
        <w:jc w:val="center"/>
        <w:textAlignment w:val="auto"/>
        <w:outlineLvl w:val="1"/>
        <w:rPr>
          <w:rFonts w:hint="eastAsia" w:ascii="宋体" w:hAnsi="宋体" w:cs="宋体"/>
          <w:b/>
          <w:color w:val="000000"/>
          <w:kern w:val="10"/>
          <w:sz w:val="24"/>
          <w:szCs w:val="24"/>
          <w:highlight w:val="none"/>
        </w:rPr>
      </w:pPr>
      <w:r>
        <w:rPr>
          <w:rFonts w:hint="eastAsia" w:ascii="宋体" w:hAnsi="宋体" w:cs="宋体"/>
          <w:b/>
          <w:color w:val="000000"/>
          <w:kern w:val="10"/>
          <w:sz w:val="24"/>
          <w:szCs w:val="24"/>
          <w:highlight w:val="none"/>
        </w:rPr>
        <w:t>评审办法前附表二（初步评审指标表）</w:t>
      </w:r>
    </w:p>
    <w:tbl>
      <w:tblPr>
        <w:tblStyle w:val="20"/>
        <w:tblW w:w="0" w:type="auto"/>
        <w:tblInd w:w="0" w:type="dxa"/>
        <w:tblLayout w:type="fixed"/>
        <w:tblCellMar>
          <w:top w:w="0" w:type="dxa"/>
          <w:left w:w="108" w:type="dxa"/>
          <w:bottom w:w="0" w:type="dxa"/>
          <w:right w:w="108" w:type="dxa"/>
        </w:tblCellMar>
      </w:tblPr>
      <w:tblGrid>
        <w:gridCol w:w="821"/>
        <w:gridCol w:w="2227"/>
        <w:gridCol w:w="6731"/>
      </w:tblGrid>
      <w:tr w14:paraId="1800D412">
        <w:tblPrEx>
          <w:tblCellMar>
            <w:top w:w="0" w:type="dxa"/>
            <w:left w:w="108" w:type="dxa"/>
            <w:bottom w:w="0" w:type="dxa"/>
            <w:right w:w="108" w:type="dxa"/>
          </w:tblCellMar>
        </w:tblPrEx>
        <w:trPr>
          <w:trHeight w:val="385" w:hRule="atLeast"/>
        </w:trPr>
        <w:tc>
          <w:tcPr>
            <w:tcW w:w="821" w:type="dxa"/>
            <w:tcBorders>
              <w:top w:val="single" w:color="auto" w:sz="4" w:space="0"/>
              <w:left w:val="single" w:color="auto" w:sz="4" w:space="0"/>
              <w:bottom w:val="single" w:color="auto" w:sz="4" w:space="0"/>
              <w:right w:val="single" w:color="auto" w:sz="4" w:space="0"/>
            </w:tcBorders>
            <w:noWrap w:val="0"/>
            <w:vAlign w:val="top"/>
          </w:tcPr>
          <w:p w14:paraId="3E14B29E">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2227" w:type="dxa"/>
            <w:tcBorders>
              <w:top w:val="single" w:color="auto" w:sz="4" w:space="0"/>
              <w:left w:val="single" w:color="auto" w:sz="4" w:space="0"/>
              <w:bottom w:val="single" w:color="auto" w:sz="4" w:space="0"/>
              <w:right w:val="single" w:color="auto" w:sz="4" w:space="0"/>
            </w:tcBorders>
            <w:noWrap w:val="0"/>
            <w:vAlign w:val="top"/>
          </w:tcPr>
          <w:p w14:paraId="29FAE8F0">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评审因素</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A9C432E">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初步评审标准</w:t>
            </w:r>
          </w:p>
        </w:tc>
      </w:tr>
      <w:tr w14:paraId="4E12E3AF">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14:paraId="1F176A94">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8E1192A">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投标单位名称的</w:t>
            </w:r>
          </w:p>
          <w:p w14:paraId="53938906">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一致性要求</w:t>
            </w:r>
          </w:p>
        </w:tc>
        <w:tc>
          <w:tcPr>
            <w:tcW w:w="6731" w:type="dxa"/>
            <w:tcBorders>
              <w:top w:val="single" w:color="auto" w:sz="4" w:space="0"/>
              <w:left w:val="single" w:color="auto" w:sz="4" w:space="0"/>
              <w:bottom w:val="single" w:color="auto" w:sz="4" w:space="0"/>
              <w:right w:val="single" w:color="auto" w:sz="4" w:space="0"/>
            </w:tcBorders>
            <w:noWrap w:val="0"/>
            <w:vAlign w:val="center"/>
          </w:tcPr>
          <w:p w14:paraId="5E3EF4CD">
            <w:pPr>
              <w:adjustRightInd w:val="0"/>
              <w:snapToGrid w:val="0"/>
              <w:spacing w:line="320" w:lineRule="exact"/>
              <w:rPr>
                <w:rFonts w:hint="eastAsia" w:ascii="宋体" w:hAnsi="宋体" w:cs="宋体"/>
                <w:color w:val="000000"/>
                <w:spacing w:val="-4"/>
                <w:szCs w:val="21"/>
                <w:highlight w:val="none"/>
              </w:rPr>
            </w:pPr>
            <w:r>
              <w:rPr>
                <w:rFonts w:hint="eastAsia" w:ascii="宋体" w:hAnsi="宋体" w:cs="宋体"/>
                <w:color w:val="000000"/>
                <w:spacing w:val="-4"/>
                <w:szCs w:val="21"/>
                <w:highlight w:val="none"/>
              </w:rPr>
              <w:t>投标单位名称与资格审查提供的投标单位营业执照、税务登记证应一致。</w:t>
            </w:r>
          </w:p>
        </w:tc>
      </w:tr>
      <w:tr w14:paraId="621AB6ED">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14:paraId="3A707E54">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3FD6564">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谈判响应文件签字盖章要求</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6F543744">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谈判响应文件应按谈判文件规定加盖投标单位印章并经投标单位负责人或其授权的代理人签字或盖章。</w:t>
            </w:r>
          </w:p>
        </w:tc>
      </w:tr>
      <w:tr w14:paraId="4DABD42F">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14:paraId="6279C612">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EB177A5">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谈判响应文件格式</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7CD7CFA0">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须按谈判文件规定的格式填写，内容完整，不得影响谈判响应文件评审，且不得出现关键字迹模糊、无法辨认等情况。</w:t>
            </w:r>
          </w:p>
        </w:tc>
      </w:tr>
      <w:tr w14:paraId="724C2177">
        <w:tblPrEx>
          <w:tblCellMar>
            <w:top w:w="0" w:type="dxa"/>
            <w:left w:w="108" w:type="dxa"/>
            <w:bottom w:w="0" w:type="dxa"/>
            <w:right w:w="108" w:type="dxa"/>
          </w:tblCellMar>
        </w:tblPrEx>
        <w:tc>
          <w:tcPr>
            <w:tcW w:w="821" w:type="dxa"/>
            <w:tcBorders>
              <w:top w:val="single" w:color="auto" w:sz="4" w:space="0"/>
              <w:left w:val="single" w:color="auto" w:sz="4" w:space="0"/>
              <w:bottom w:val="single" w:color="auto" w:sz="4" w:space="0"/>
              <w:right w:val="single" w:color="auto" w:sz="4" w:space="0"/>
            </w:tcBorders>
            <w:noWrap w:val="0"/>
            <w:vAlign w:val="center"/>
          </w:tcPr>
          <w:p w14:paraId="54CE9204">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4</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41653A9">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谈判响应文件的唯一性和确定性</w:t>
            </w:r>
          </w:p>
        </w:tc>
        <w:tc>
          <w:tcPr>
            <w:tcW w:w="6731" w:type="dxa"/>
            <w:tcBorders>
              <w:top w:val="single" w:color="auto" w:sz="4" w:space="0"/>
              <w:left w:val="single" w:color="auto" w:sz="4" w:space="0"/>
              <w:bottom w:val="single" w:color="auto" w:sz="4" w:space="0"/>
              <w:right w:val="single" w:color="auto" w:sz="4" w:space="0"/>
            </w:tcBorders>
            <w:noWrap w:val="0"/>
            <w:vAlign w:val="top"/>
          </w:tcPr>
          <w:p w14:paraId="57E8C64D">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kern w:val="0"/>
                <w:highlight w:val="none"/>
              </w:rPr>
              <w:t>投标单位不得递交两份或多份内容不同的响应文件，且未声明哪一个有效，按谈判文件规定提交投标替代方案的除外</w:t>
            </w:r>
            <w:r>
              <w:rPr>
                <w:rFonts w:hint="eastAsia" w:ascii="宋体" w:hAnsi="宋体" w:cs="宋体"/>
                <w:color w:val="000000"/>
                <w:szCs w:val="21"/>
                <w:highlight w:val="none"/>
              </w:rPr>
              <w:t>。</w:t>
            </w:r>
          </w:p>
        </w:tc>
      </w:tr>
      <w:tr w14:paraId="1EBA01F5">
        <w:tblPrEx>
          <w:tblCellMar>
            <w:top w:w="0" w:type="dxa"/>
            <w:left w:w="108" w:type="dxa"/>
            <w:bottom w:w="0" w:type="dxa"/>
            <w:right w:w="108" w:type="dxa"/>
          </w:tblCellMar>
        </w:tblPrEx>
        <w:trPr>
          <w:trHeight w:val="397" w:hRule="atLeast"/>
        </w:trPr>
        <w:tc>
          <w:tcPr>
            <w:tcW w:w="9779" w:type="dxa"/>
            <w:gridSpan w:val="3"/>
            <w:tcBorders>
              <w:top w:val="single" w:color="auto" w:sz="4" w:space="0"/>
              <w:left w:val="single" w:color="auto" w:sz="4" w:space="0"/>
              <w:bottom w:val="single" w:color="auto" w:sz="4" w:space="0"/>
              <w:right w:val="single" w:color="auto" w:sz="4" w:space="0"/>
            </w:tcBorders>
            <w:noWrap w:val="0"/>
            <w:vAlign w:val="center"/>
          </w:tcPr>
          <w:p w14:paraId="2EE3013A">
            <w:pPr>
              <w:adjustRightInd w:val="0"/>
              <w:snapToGrid w:val="0"/>
              <w:spacing w:line="260" w:lineRule="exact"/>
              <w:rPr>
                <w:rFonts w:hint="eastAsia" w:ascii="宋体" w:hAnsi="宋体" w:cs="宋体"/>
                <w:color w:val="000000"/>
                <w:szCs w:val="21"/>
                <w:highlight w:val="none"/>
              </w:rPr>
            </w:pPr>
            <w:r>
              <w:rPr>
                <w:rFonts w:hint="eastAsia" w:ascii="宋体" w:hAnsi="宋体" w:cs="宋体"/>
                <w:b/>
                <w:bCs/>
                <w:color w:val="000000"/>
                <w:szCs w:val="21"/>
                <w:highlight w:val="none"/>
              </w:rPr>
              <w:t>以上评审有任何一项未通过的，初步评审不合格，按照无效投标处理。</w:t>
            </w:r>
          </w:p>
        </w:tc>
      </w:tr>
    </w:tbl>
    <w:p w14:paraId="1B6E2A82">
      <w:pPr>
        <w:adjustRightInd w:val="0"/>
        <w:snapToGrid w:val="0"/>
        <w:spacing w:before="156" w:beforeLines="50" w:after="156" w:afterLines="50" w:line="300" w:lineRule="exact"/>
        <w:jc w:val="center"/>
        <w:outlineLvl w:val="1"/>
        <w:rPr>
          <w:rFonts w:hint="eastAsia" w:ascii="宋体" w:hAnsi="宋体"/>
          <w:b/>
          <w:kern w:val="10"/>
          <w:sz w:val="24"/>
          <w:szCs w:val="24"/>
          <w:highlight w:val="none"/>
        </w:rPr>
      </w:pPr>
      <w:r>
        <w:rPr>
          <w:rFonts w:hint="eastAsia" w:ascii="宋体" w:hAnsi="宋体"/>
          <w:b/>
          <w:kern w:val="10"/>
          <w:sz w:val="24"/>
          <w:szCs w:val="24"/>
          <w:highlight w:val="none"/>
        </w:rPr>
        <w:t>评审办法前附表三（详细评审指标表）</w:t>
      </w:r>
    </w:p>
    <w:tbl>
      <w:tblPr>
        <w:tblStyle w:val="20"/>
        <w:tblW w:w="0" w:type="auto"/>
        <w:tblInd w:w="0" w:type="dxa"/>
        <w:tblLayout w:type="fixed"/>
        <w:tblCellMar>
          <w:top w:w="0" w:type="dxa"/>
          <w:left w:w="108" w:type="dxa"/>
          <w:bottom w:w="0" w:type="dxa"/>
          <w:right w:w="108" w:type="dxa"/>
        </w:tblCellMar>
      </w:tblPr>
      <w:tblGrid>
        <w:gridCol w:w="822"/>
        <w:gridCol w:w="2231"/>
        <w:gridCol w:w="6734"/>
      </w:tblGrid>
      <w:tr w14:paraId="7553696D">
        <w:tblPrEx>
          <w:tblCellMar>
            <w:top w:w="0" w:type="dxa"/>
            <w:left w:w="108" w:type="dxa"/>
            <w:bottom w:w="0" w:type="dxa"/>
            <w:right w:w="108" w:type="dxa"/>
          </w:tblCellMar>
        </w:tblPrEx>
        <w:trPr>
          <w:trHeight w:val="323"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14:paraId="1AD29CD9">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序号</w:t>
            </w:r>
          </w:p>
        </w:tc>
        <w:tc>
          <w:tcPr>
            <w:tcW w:w="2231" w:type="dxa"/>
            <w:tcBorders>
              <w:top w:val="single" w:color="auto" w:sz="4" w:space="0"/>
              <w:left w:val="single" w:color="auto" w:sz="4" w:space="0"/>
              <w:bottom w:val="single" w:color="auto" w:sz="4" w:space="0"/>
              <w:right w:val="single" w:color="auto" w:sz="4" w:space="0"/>
            </w:tcBorders>
            <w:noWrap w:val="0"/>
            <w:vAlign w:val="top"/>
          </w:tcPr>
          <w:p w14:paraId="07C36E61">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评审因素</w:t>
            </w:r>
          </w:p>
        </w:tc>
        <w:tc>
          <w:tcPr>
            <w:tcW w:w="6734" w:type="dxa"/>
            <w:tcBorders>
              <w:top w:val="single" w:color="auto" w:sz="4" w:space="0"/>
              <w:left w:val="single" w:color="auto" w:sz="4" w:space="0"/>
              <w:bottom w:val="single" w:color="auto" w:sz="4" w:space="0"/>
              <w:right w:val="single" w:color="auto" w:sz="4" w:space="0"/>
            </w:tcBorders>
            <w:noWrap w:val="0"/>
            <w:vAlign w:val="top"/>
          </w:tcPr>
          <w:p w14:paraId="1C4F3714">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谈判响应文件详细评审标准</w:t>
            </w:r>
          </w:p>
        </w:tc>
      </w:tr>
      <w:tr w14:paraId="2F5A3B20">
        <w:tblPrEx>
          <w:tblCellMar>
            <w:top w:w="0" w:type="dxa"/>
            <w:left w:w="108" w:type="dxa"/>
            <w:bottom w:w="0" w:type="dxa"/>
            <w:right w:w="108" w:type="dxa"/>
          </w:tblCellMar>
        </w:tblPrEx>
        <w:trPr>
          <w:trHeight w:val="475"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14:paraId="28BA46E9">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1</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477E473C">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服务内容响应情况</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25EC226C">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必须响应谈判文件的要求</w:t>
            </w:r>
            <w:r>
              <w:rPr>
                <w:rFonts w:hint="eastAsia" w:ascii="宋体" w:hAnsi="宋体" w:cs="宋体"/>
                <w:color w:val="000000"/>
                <w:szCs w:val="21"/>
                <w:highlight w:val="none"/>
                <w:lang w:eastAsia="zh-CN"/>
              </w:rPr>
              <w:t>。</w:t>
            </w:r>
          </w:p>
        </w:tc>
      </w:tr>
      <w:tr w14:paraId="444855C0">
        <w:tblPrEx>
          <w:tblCellMar>
            <w:top w:w="0" w:type="dxa"/>
            <w:left w:w="108" w:type="dxa"/>
            <w:bottom w:w="0" w:type="dxa"/>
            <w:right w:w="108" w:type="dxa"/>
          </w:tblCellMar>
        </w:tblPrEx>
        <w:trPr>
          <w:trHeight w:val="414"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14:paraId="0D276A9F">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2</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C77757A">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项目完成时间</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25E3A157">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应符合谈判文件的要求。</w:t>
            </w:r>
          </w:p>
        </w:tc>
      </w:tr>
      <w:tr w14:paraId="63CB3642">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14:paraId="5829F4F2">
            <w:pPr>
              <w:adjustRightInd w:val="0"/>
              <w:snapToGrid w:val="0"/>
              <w:spacing w:line="320" w:lineRule="exact"/>
              <w:jc w:val="center"/>
              <w:rPr>
                <w:rFonts w:hint="eastAsia" w:ascii="宋体" w:hAnsi="宋体" w:cs="宋体"/>
                <w:color w:val="000000"/>
                <w:szCs w:val="21"/>
                <w:highlight w:val="none"/>
              </w:rPr>
            </w:pPr>
            <w:r>
              <w:rPr>
                <w:rFonts w:hint="eastAsia" w:ascii="宋体" w:hAnsi="宋体" w:cs="宋体"/>
                <w:color w:val="000000"/>
                <w:szCs w:val="21"/>
                <w:highlight w:val="none"/>
              </w:rPr>
              <w:t>3</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21A9182F">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澄清、说明及补正</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1D5E6547">
            <w:pPr>
              <w:adjustRightInd w:val="0"/>
              <w:snapToGrid w:val="0"/>
              <w:spacing w:line="320" w:lineRule="exact"/>
              <w:rPr>
                <w:rFonts w:hint="eastAsia" w:ascii="宋体" w:hAnsi="宋体" w:cs="宋体"/>
                <w:color w:val="000000"/>
                <w:szCs w:val="21"/>
                <w:highlight w:val="none"/>
              </w:rPr>
            </w:pPr>
            <w:r>
              <w:rPr>
                <w:rFonts w:hint="eastAsia" w:ascii="宋体" w:hAnsi="宋体" w:cs="宋体"/>
                <w:color w:val="000000"/>
                <w:szCs w:val="21"/>
                <w:highlight w:val="none"/>
              </w:rPr>
              <w:t>投标单位应按评审小组的要求进行澄清、说明及补正。</w:t>
            </w:r>
          </w:p>
        </w:tc>
      </w:tr>
      <w:tr w14:paraId="5345F6EB">
        <w:tblPrEx>
          <w:tblCellMar>
            <w:top w:w="0" w:type="dxa"/>
            <w:left w:w="108" w:type="dxa"/>
            <w:bottom w:w="0" w:type="dxa"/>
            <w:right w:w="108" w:type="dxa"/>
          </w:tblCellMar>
        </w:tblPrEx>
        <w:trPr>
          <w:trHeight w:val="412" w:hRule="atLeast"/>
        </w:trPr>
        <w:tc>
          <w:tcPr>
            <w:tcW w:w="822" w:type="dxa"/>
            <w:tcBorders>
              <w:top w:val="single" w:color="auto" w:sz="4" w:space="0"/>
              <w:left w:val="single" w:color="auto" w:sz="4" w:space="0"/>
              <w:bottom w:val="single" w:color="auto" w:sz="4" w:space="0"/>
              <w:right w:val="single" w:color="auto" w:sz="4" w:space="0"/>
            </w:tcBorders>
            <w:noWrap w:val="0"/>
            <w:vAlign w:val="center"/>
          </w:tcPr>
          <w:p w14:paraId="206E14A7">
            <w:pPr>
              <w:adjustRightInd w:val="0"/>
              <w:snapToGrid w:val="0"/>
              <w:spacing w:line="320" w:lineRule="exact"/>
              <w:jc w:val="center"/>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4</w:t>
            </w:r>
          </w:p>
        </w:tc>
        <w:tc>
          <w:tcPr>
            <w:tcW w:w="2231" w:type="dxa"/>
            <w:tcBorders>
              <w:top w:val="single" w:color="auto" w:sz="4" w:space="0"/>
              <w:left w:val="single" w:color="auto" w:sz="4" w:space="0"/>
              <w:bottom w:val="single" w:color="auto" w:sz="4" w:space="0"/>
              <w:right w:val="single" w:color="auto" w:sz="4" w:space="0"/>
            </w:tcBorders>
            <w:noWrap w:val="0"/>
            <w:vAlign w:val="center"/>
          </w:tcPr>
          <w:p w14:paraId="34AE2F7F">
            <w:pPr>
              <w:adjustRightInd w:val="0"/>
              <w:snapToGrid w:val="0"/>
              <w:spacing w:line="320" w:lineRule="exact"/>
              <w:rPr>
                <w:rFonts w:hint="eastAsia"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其他</w:t>
            </w:r>
          </w:p>
        </w:tc>
        <w:tc>
          <w:tcPr>
            <w:tcW w:w="6734" w:type="dxa"/>
            <w:tcBorders>
              <w:top w:val="single" w:color="auto" w:sz="4" w:space="0"/>
              <w:left w:val="single" w:color="auto" w:sz="4" w:space="0"/>
              <w:bottom w:val="single" w:color="auto" w:sz="4" w:space="0"/>
              <w:right w:val="single" w:color="auto" w:sz="4" w:space="0"/>
            </w:tcBorders>
            <w:noWrap w:val="0"/>
            <w:vAlign w:val="center"/>
          </w:tcPr>
          <w:p w14:paraId="4EB0CD58">
            <w:pPr>
              <w:adjustRightInd w:val="0"/>
              <w:snapToGrid w:val="0"/>
              <w:spacing w:line="320" w:lineRule="exact"/>
              <w:rPr>
                <w:rFonts w:hint="eastAsia" w:ascii="宋体" w:hAnsi="宋体" w:eastAsia="宋体" w:cs="宋体"/>
                <w:color w:val="000000"/>
                <w:szCs w:val="21"/>
                <w:highlight w:val="none"/>
                <w:lang w:eastAsia="zh-CN"/>
              </w:rPr>
            </w:pPr>
            <w:r>
              <w:rPr>
                <w:rFonts w:hint="eastAsia" w:ascii="宋体" w:hAnsi="宋体" w:cs="宋体"/>
                <w:color w:val="000000"/>
                <w:szCs w:val="21"/>
                <w:highlight w:val="none"/>
              </w:rPr>
              <w:t>必须响应谈判文件的要求</w:t>
            </w:r>
            <w:r>
              <w:rPr>
                <w:rFonts w:hint="eastAsia" w:ascii="宋体" w:hAnsi="宋体" w:cs="宋体"/>
                <w:color w:val="000000"/>
                <w:szCs w:val="21"/>
                <w:highlight w:val="none"/>
                <w:lang w:eastAsia="zh-CN"/>
              </w:rPr>
              <w:t>。</w:t>
            </w:r>
          </w:p>
        </w:tc>
      </w:tr>
      <w:tr w14:paraId="3EF6AF1C">
        <w:tblPrEx>
          <w:tblCellMar>
            <w:top w:w="0" w:type="dxa"/>
            <w:left w:w="108" w:type="dxa"/>
            <w:bottom w:w="0" w:type="dxa"/>
            <w:right w:w="108" w:type="dxa"/>
          </w:tblCellMar>
        </w:tblPrEx>
        <w:trPr>
          <w:trHeight w:val="388" w:hRule="atLeast"/>
        </w:trPr>
        <w:tc>
          <w:tcPr>
            <w:tcW w:w="9787" w:type="dxa"/>
            <w:gridSpan w:val="3"/>
            <w:tcBorders>
              <w:top w:val="single" w:color="auto" w:sz="4" w:space="0"/>
              <w:left w:val="single" w:color="auto" w:sz="4" w:space="0"/>
              <w:bottom w:val="single" w:color="auto" w:sz="4" w:space="0"/>
              <w:right w:val="single" w:color="auto" w:sz="4" w:space="0"/>
            </w:tcBorders>
            <w:noWrap w:val="0"/>
            <w:vAlign w:val="center"/>
          </w:tcPr>
          <w:p w14:paraId="4D6AF753">
            <w:pPr>
              <w:adjustRightInd w:val="0"/>
              <w:snapToGrid w:val="0"/>
              <w:spacing w:line="320" w:lineRule="exact"/>
              <w:rPr>
                <w:rFonts w:hint="eastAsia" w:ascii="宋体" w:hAnsi="宋体" w:cs="宋体"/>
                <w:color w:val="000000"/>
                <w:szCs w:val="21"/>
                <w:highlight w:val="none"/>
              </w:rPr>
            </w:pPr>
            <w:r>
              <w:rPr>
                <w:rFonts w:hint="eastAsia" w:ascii="宋体" w:hAnsi="宋体" w:cs="宋体"/>
                <w:b/>
                <w:bCs/>
                <w:color w:val="000000"/>
                <w:szCs w:val="21"/>
                <w:highlight w:val="none"/>
              </w:rPr>
              <w:t>以上评审有任何一项未通过的，详细评审不合格，按无效投标处理。</w:t>
            </w:r>
          </w:p>
        </w:tc>
      </w:tr>
    </w:tbl>
    <w:p w14:paraId="3A2BD85C">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outlineLvl w:val="9"/>
        <w:rPr>
          <w:rFonts w:hint="eastAsia" w:ascii="宋体" w:hAnsi="宋体" w:eastAsia="宋体" w:cs="宋体"/>
          <w:b/>
          <w:color w:val="auto"/>
          <w:kern w:val="10"/>
          <w:sz w:val="24"/>
          <w:szCs w:val="24"/>
          <w:highlight w:val="none"/>
        </w:rPr>
      </w:pPr>
      <w:bookmarkStart w:id="54" w:name="_Toc493152871"/>
      <w:bookmarkStart w:id="55" w:name="_Toc457942830"/>
    </w:p>
    <w:p w14:paraId="6EA8C53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outlineLvl w:val="9"/>
        <w:rPr>
          <w:rFonts w:hint="eastAsia" w:ascii="宋体" w:hAnsi="宋体" w:eastAsia="宋体" w:cs="宋体"/>
          <w:b/>
          <w:color w:val="auto"/>
          <w:kern w:val="10"/>
          <w:sz w:val="24"/>
          <w:szCs w:val="24"/>
          <w:highlight w:val="none"/>
        </w:rPr>
      </w:pPr>
    </w:p>
    <w:p w14:paraId="128AC157">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outlineLvl w:val="9"/>
        <w:rPr>
          <w:rFonts w:hint="eastAsia" w:ascii="宋体" w:hAnsi="宋体" w:eastAsia="宋体" w:cs="宋体"/>
          <w:b/>
          <w:color w:val="auto"/>
          <w:kern w:val="10"/>
          <w:sz w:val="24"/>
          <w:szCs w:val="24"/>
          <w:highlight w:val="none"/>
        </w:rPr>
      </w:pPr>
    </w:p>
    <w:p w14:paraId="4FC706D7">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jc w:val="center"/>
        <w:textAlignment w:val="auto"/>
        <w:outlineLvl w:val="1"/>
        <w:rPr>
          <w:rFonts w:hint="eastAsia" w:ascii="宋体" w:hAnsi="宋体" w:eastAsia="宋体" w:cs="宋体"/>
          <w:b/>
          <w:color w:val="auto"/>
          <w:kern w:val="10"/>
          <w:sz w:val="24"/>
          <w:szCs w:val="24"/>
          <w:highlight w:val="none"/>
        </w:rPr>
      </w:pPr>
      <w:r>
        <w:rPr>
          <w:rFonts w:hint="eastAsia" w:ascii="宋体" w:hAnsi="宋体" w:eastAsia="宋体" w:cs="宋体"/>
          <w:b/>
          <w:color w:val="auto"/>
          <w:kern w:val="10"/>
          <w:sz w:val="24"/>
          <w:szCs w:val="24"/>
          <w:highlight w:val="none"/>
        </w:rPr>
        <w:t>评审办法前附表</w:t>
      </w:r>
      <w:r>
        <w:rPr>
          <w:rFonts w:hint="eastAsia" w:ascii="宋体" w:hAnsi="宋体" w:eastAsia="宋体" w:cs="宋体"/>
          <w:b/>
          <w:color w:val="auto"/>
          <w:kern w:val="10"/>
          <w:sz w:val="24"/>
          <w:szCs w:val="24"/>
          <w:highlight w:val="none"/>
          <w:lang w:val="en-US" w:eastAsia="zh-CN"/>
        </w:rPr>
        <w:t>四</w:t>
      </w:r>
      <w:r>
        <w:rPr>
          <w:rFonts w:hint="eastAsia" w:ascii="宋体" w:hAnsi="宋体" w:eastAsia="宋体" w:cs="宋体"/>
          <w:b/>
          <w:color w:val="auto"/>
          <w:kern w:val="10"/>
          <w:sz w:val="24"/>
          <w:szCs w:val="24"/>
          <w:highlight w:val="none"/>
        </w:rPr>
        <w:t>（</w:t>
      </w:r>
      <w:r>
        <w:rPr>
          <w:rFonts w:hint="eastAsia" w:ascii="宋体" w:hAnsi="宋体" w:eastAsia="宋体" w:cs="宋体"/>
          <w:b/>
          <w:color w:val="auto"/>
          <w:kern w:val="10"/>
          <w:sz w:val="24"/>
          <w:szCs w:val="24"/>
          <w:highlight w:val="none"/>
          <w:lang w:val="en-US" w:eastAsia="zh-CN"/>
        </w:rPr>
        <w:t>详细</w:t>
      </w:r>
      <w:r>
        <w:rPr>
          <w:rFonts w:hint="eastAsia" w:ascii="宋体" w:hAnsi="宋体" w:eastAsia="宋体" w:cs="宋体"/>
          <w:b/>
          <w:color w:val="auto"/>
          <w:kern w:val="10"/>
          <w:sz w:val="24"/>
          <w:szCs w:val="24"/>
          <w:highlight w:val="none"/>
          <w:lang w:eastAsia="zh-CN"/>
        </w:rPr>
        <w:t>评审指标表</w:t>
      </w:r>
      <w:r>
        <w:rPr>
          <w:rFonts w:hint="eastAsia" w:ascii="宋体" w:hAnsi="宋体" w:eastAsia="宋体" w:cs="宋体"/>
          <w:b/>
          <w:color w:val="auto"/>
          <w:kern w:val="10"/>
          <w:sz w:val="24"/>
          <w:szCs w:val="24"/>
          <w:highlight w:val="none"/>
        </w:rPr>
        <w:t>）</w:t>
      </w:r>
    </w:p>
    <w:tbl>
      <w:tblPr>
        <w:tblStyle w:val="20"/>
        <w:tblW w:w="102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4"/>
        <w:gridCol w:w="1579"/>
        <w:gridCol w:w="6916"/>
        <w:gridCol w:w="702"/>
      </w:tblGrid>
      <w:tr w14:paraId="263E2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1064" w:type="dxa"/>
            <w:noWrap w:val="0"/>
            <w:vAlign w:val="center"/>
          </w:tcPr>
          <w:p w14:paraId="76ACA5F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类别</w:t>
            </w:r>
          </w:p>
        </w:tc>
        <w:tc>
          <w:tcPr>
            <w:tcW w:w="1579" w:type="dxa"/>
            <w:noWrap w:val="0"/>
            <w:vAlign w:val="center"/>
          </w:tcPr>
          <w:p w14:paraId="120BD7D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1"/>
                <w:szCs w:val="21"/>
                <w:highlight w:val="none"/>
                <w:lang w:val="en-US"/>
              </w:rPr>
            </w:pPr>
            <w:r>
              <w:rPr>
                <w:rFonts w:hint="eastAsia" w:ascii="宋体" w:hAnsi="宋体" w:eastAsia="宋体" w:cs="宋体"/>
                <w:b/>
                <w:bCs/>
                <w:color w:val="auto"/>
                <w:sz w:val="21"/>
                <w:szCs w:val="21"/>
                <w:highlight w:val="none"/>
              </w:rPr>
              <w:t>评分因素</w:t>
            </w:r>
          </w:p>
        </w:tc>
        <w:tc>
          <w:tcPr>
            <w:tcW w:w="6916" w:type="dxa"/>
            <w:noWrap w:val="0"/>
            <w:vAlign w:val="center"/>
          </w:tcPr>
          <w:p w14:paraId="2FE23EA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评分标准</w:t>
            </w:r>
          </w:p>
        </w:tc>
        <w:tc>
          <w:tcPr>
            <w:tcW w:w="702" w:type="dxa"/>
            <w:noWrap w:val="0"/>
            <w:vAlign w:val="center"/>
          </w:tcPr>
          <w:p w14:paraId="296E1E8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分值</w:t>
            </w:r>
          </w:p>
        </w:tc>
      </w:tr>
      <w:tr w14:paraId="63FC8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2" w:hRule="atLeast"/>
          <w:jc w:val="center"/>
        </w:trPr>
        <w:tc>
          <w:tcPr>
            <w:tcW w:w="1064" w:type="dxa"/>
            <w:vMerge w:val="restart"/>
            <w:noWrap w:val="0"/>
            <w:vAlign w:val="center"/>
          </w:tcPr>
          <w:p w14:paraId="675731E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技术</w:t>
            </w:r>
            <w:r>
              <w:rPr>
                <w:rFonts w:hint="eastAsia" w:ascii="宋体" w:hAnsi="宋体" w:cs="宋体"/>
                <w:b/>
                <w:bCs/>
                <w:color w:val="auto"/>
                <w:sz w:val="21"/>
                <w:szCs w:val="21"/>
                <w:highlight w:val="none"/>
                <w:lang w:val="en-US" w:eastAsia="zh-CN"/>
              </w:rPr>
              <w:t>分</w:t>
            </w:r>
          </w:p>
          <w:p w14:paraId="6AAB9AF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b/>
                <w:bCs/>
                <w:color w:val="auto"/>
                <w:sz w:val="21"/>
                <w:szCs w:val="21"/>
                <w:highlight w:val="none"/>
                <w:lang w:val="en-US" w:eastAsia="zh-CN"/>
              </w:rPr>
              <w:t>90</w:t>
            </w:r>
            <w:r>
              <w:rPr>
                <w:rFonts w:hint="eastAsia" w:ascii="宋体" w:hAnsi="宋体" w:eastAsia="宋体" w:cs="宋体"/>
                <w:b/>
                <w:bCs/>
                <w:color w:val="auto"/>
                <w:sz w:val="21"/>
                <w:szCs w:val="21"/>
                <w:highlight w:val="none"/>
              </w:rPr>
              <w:t>分）</w:t>
            </w:r>
          </w:p>
        </w:tc>
        <w:tc>
          <w:tcPr>
            <w:tcW w:w="1579" w:type="dxa"/>
            <w:noWrap w:val="0"/>
            <w:vAlign w:val="center"/>
          </w:tcPr>
          <w:p w14:paraId="0148F0A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供应商</w:t>
            </w:r>
            <w:r>
              <w:rPr>
                <w:rFonts w:hint="eastAsia" w:ascii="宋体" w:hAnsi="宋体" w:eastAsia="宋体" w:cs="宋体"/>
                <w:color w:val="auto"/>
                <w:sz w:val="21"/>
                <w:szCs w:val="21"/>
                <w:highlight w:val="none"/>
                <w:lang w:val="en-US" w:eastAsia="zh-CN"/>
              </w:rPr>
              <w:t>业绩</w:t>
            </w:r>
          </w:p>
        </w:tc>
        <w:tc>
          <w:tcPr>
            <w:tcW w:w="6916" w:type="dxa"/>
            <w:noWrap w:val="0"/>
            <w:vAlign w:val="center"/>
          </w:tcPr>
          <w:p w14:paraId="315DC7E7">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供应商自2019年1月1日以来，承担过类似项目业绩、国家级(含部级)的每个得2分，省级的每个得1分，市级每个得0.5分，最多10分。</w:t>
            </w:r>
          </w:p>
          <w:p w14:paraId="0AD87EF8">
            <w:pPr>
              <w:pStyle w:val="7"/>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default"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注：响应文件中须提供业绩合同复印件，时间以签订时间为准。合同不能体现评审要素的须提供加盖委托人公章的证明材料复印件。</w:t>
            </w:r>
          </w:p>
        </w:tc>
        <w:tc>
          <w:tcPr>
            <w:tcW w:w="702" w:type="dxa"/>
            <w:noWrap w:val="0"/>
            <w:vAlign w:val="center"/>
          </w:tcPr>
          <w:p w14:paraId="7B4154F3">
            <w:pPr>
              <w:pStyle w:val="7"/>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10</w:t>
            </w:r>
          </w:p>
        </w:tc>
      </w:tr>
      <w:tr w14:paraId="7AD0A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6" w:hRule="atLeast"/>
          <w:jc w:val="center"/>
        </w:trPr>
        <w:tc>
          <w:tcPr>
            <w:tcW w:w="1064" w:type="dxa"/>
            <w:vMerge w:val="continue"/>
            <w:noWrap w:val="0"/>
            <w:vAlign w:val="center"/>
          </w:tcPr>
          <w:p w14:paraId="507558D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noWrap w:val="0"/>
            <w:vAlign w:val="center"/>
          </w:tcPr>
          <w:p w14:paraId="55A7EAD5">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投标人能力</w:t>
            </w:r>
          </w:p>
        </w:tc>
        <w:tc>
          <w:tcPr>
            <w:tcW w:w="6916" w:type="dxa"/>
            <w:noWrap w:val="0"/>
            <w:vAlign w:val="center"/>
          </w:tcPr>
          <w:p w14:paraId="52E68ED6">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供应商提供2019年1月1日(以合同签订时间或正式出版物落款时间为准)以来小水电绿色发展和安全生产相关的技术标准、监管办法编制项目案例国家级（含部级）的每项得2分，省级的每项得1分，市、县级的每项得0.5分，最多4分。</w:t>
            </w:r>
          </w:p>
          <w:p w14:paraId="4EBD0688">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注：响应文件中须提供相关证明材料复印件。</w:t>
            </w:r>
          </w:p>
        </w:tc>
        <w:tc>
          <w:tcPr>
            <w:tcW w:w="702" w:type="dxa"/>
            <w:noWrap w:val="0"/>
            <w:vAlign w:val="center"/>
          </w:tcPr>
          <w:p w14:paraId="584820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4</w:t>
            </w:r>
          </w:p>
        </w:tc>
      </w:tr>
      <w:tr w14:paraId="738D8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jc w:val="center"/>
        </w:trPr>
        <w:tc>
          <w:tcPr>
            <w:tcW w:w="1064" w:type="dxa"/>
            <w:vMerge w:val="continue"/>
            <w:noWrap w:val="0"/>
            <w:vAlign w:val="center"/>
          </w:tcPr>
          <w:p w14:paraId="5A6E27F3">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noWrap w:val="0"/>
            <w:vAlign w:val="center"/>
          </w:tcPr>
          <w:p w14:paraId="0E5E2C99">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供应商</w:t>
            </w:r>
          </w:p>
          <w:p w14:paraId="5207B01E">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认证体系</w:t>
            </w:r>
          </w:p>
        </w:tc>
        <w:tc>
          <w:tcPr>
            <w:tcW w:w="6916" w:type="dxa"/>
            <w:noWrap w:val="0"/>
            <w:vAlign w:val="center"/>
          </w:tcPr>
          <w:p w14:paraId="6C4DE2E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供应商具备有效的质量管理体系认证、环境管理体系认证、职业健康管理体系认证的，每个得1分，最多3分。</w:t>
            </w:r>
          </w:p>
          <w:p w14:paraId="0357249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注：响应文件中须提供相关证明材料复印件。</w:t>
            </w:r>
          </w:p>
        </w:tc>
        <w:tc>
          <w:tcPr>
            <w:tcW w:w="702" w:type="dxa"/>
            <w:noWrap w:val="0"/>
            <w:vAlign w:val="center"/>
          </w:tcPr>
          <w:p w14:paraId="6FE3A7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3</w:t>
            </w:r>
          </w:p>
        </w:tc>
      </w:tr>
      <w:tr w14:paraId="022E4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064" w:type="dxa"/>
            <w:vMerge w:val="continue"/>
            <w:noWrap w:val="0"/>
            <w:vAlign w:val="center"/>
          </w:tcPr>
          <w:p w14:paraId="47B413DF">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restart"/>
            <w:noWrap w:val="0"/>
            <w:vAlign w:val="center"/>
          </w:tcPr>
          <w:p w14:paraId="7CE8EBB9">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实施方案</w:t>
            </w:r>
          </w:p>
        </w:tc>
        <w:tc>
          <w:tcPr>
            <w:tcW w:w="6916" w:type="dxa"/>
            <w:noWrap w:val="0"/>
            <w:vAlign w:val="center"/>
          </w:tcPr>
          <w:p w14:paraId="506EF9B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针对项目提出的实施方案内容是否全面、条理是否清晰合理、是否切合实际情况，由评委在分值范围内打分。内容完全符合得5分，比较符合得4分，基本符合得3分，部分符合得2分，不符合或未提供内容得0分。</w:t>
            </w:r>
          </w:p>
        </w:tc>
        <w:tc>
          <w:tcPr>
            <w:tcW w:w="702" w:type="dxa"/>
            <w:noWrap w:val="0"/>
            <w:vAlign w:val="center"/>
          </w:tcPr>
          <w:p w14:paraId="02792EF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4AB4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4" w:hRule="atLeast"/>
          <w:jc w:val="center"/>
        </w:trPr>
        <w:tc>
          <w:tcPr>
            <w:tcW w:w="1064" w:type="dxa"/>
            <w:vMerge w:val="continue"/>
            <w:noWrap w:val="0"/>
            <w:vAlign w:val="center"/>
          </w:tcPr>
          <w:p w14:paraId="3244D8C4">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continue"/>
            <w:noWrap w:val="0"/>
            <w:vAlign w:val="center"/>
          </w:tcPr>
          <w:p w14:paraId="7EBB147B">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p>
        </w:tc>
        <w:tc>
          <w:tcPr>
            <w:tcW w:w="6916" w:type="dxa"/>
            <w:noWrap w:val="0"/>
            <w:vAlign w:val="center"/>
          </w:tcPr>
          <w:p w14:paraId="7373294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根据供应商工作方案科学性、可操作性等是否符合实际情况，由评委在分值范围内打分。内容完全符合得5分，比较符合得4分，基本符合得3分，部分符合得2分，不符合或未提供内容得0分。</w:t>
            </w:r>
          </w:p>
        </w:tc>
        <w:tc>
          <w:tcPr>
            <w:tcW w:w="702" w:type="dxa"/>
            <w:noWrap w:val="0"/>
            <w:vAlign w:val="center"/>
          </w:tcPr>
          <w:p w14:paraId="51BD342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5E37C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5" w:hRule="atLeast"/>
          <w:jc w:val="center"/>
        </w:trPr>
        <w:tc>
          <w:tcPr>
            <w:tcW w:w="1064" w:type="dxa"/>
            <w:vMerge w:val="continue"/>
            <w:noWrap w:val="0"/>
            <w:vAlign w:val="center"/>
          </w:tcPr>
          <w:p w14:paraId="0EB2DEFC">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continue"/>
            <w:noWrap w:val="0"/>
            <w:vAlign w:val="center"/>
          </w:tcPr>
          <w:p w14:paraId="3EF67E85">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p>
        </w:tc>
        <w:tc>
          <w:tcPr>
            <w:tcW w:w="6916" w:type="dxa"/>
            <w:noWrap w:val="0"/>
            <w:vAlign w:val="center"/>
          </w:tcPr>
          <w:p w14:paraId="6892F7F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供应商按有关标准及规范完成本次采购项目的指导服务、评审、申报等各项工作，成果资料的精确性和可靠性，由评委在分值范围内打分。内容完全符合得5分，比较符合得4分，基本符合得3分，部分符合得2分，不符合或未提供内容得0分。</w:t>
            </w:r>
          </w:p>
        </w:tc>
        <w:tc>
          <w:tcPr>
            <w:tcW w:w="702" w:type="dxa"/>
            <w:noWrap w:val="0"/>
            <w:vAlign w:val="center"/>
          </w:tcPr>
          <w:p w14:paraId="1E2FAD5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17DC2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64" w:type="dxa"/>
            <w:vMerge w:val="continue"/>
            <w:noWrap w:val="0"/>
            <w:vAlign w:val="center"/>
          </w:tcPr>
          <w:p w14:paraId="67F6B55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continue"/>
            <w:noWrap w:val="0"/>
            <w:vAlign w:val="center"/>
          </w:tcPr>
          <w:p w14:paraId="6CB8ACE1">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p>
        </w:tc>
        <w:tc>
          <w:tcPr>
            <w:tcW w:w="6916" w:type="dxa"/>
            <w:noWrap w:val="0"/>
            <w:vAlign w:val="center"/>
          </w:tcPr>
          <w:p w14:paraId="73C64E0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根据供应商提供的项目具体工作安排是否完整、合理、切合实际情况，由评委在分值范围内打分。内容完全符合得5分，比较符合得4分，基本符合得3分，部分符合得2分，不符合或未提供内容得0分。</w:t>
            </w:r>
          </w:p>
        </w:tc>
        <w:tc>
          <w:tcPr>
            <w:tcW w:w="702" w:type="dxa"/>
            <w:noWrap w:val="0"/>
            <w:vAlign w:val="center"/>
          </w:tcPr>
          <w:p w14:paraId="338A6A1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03276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64" w:type="dxa"/>
            <w:vMerge w:val="continue"/>
            <w:noWrap w:val="0"/>
            <w:vAlign w:val="center"/>
          </w:tcPr>
          <w:p w14:paraId="5BD0550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restart"/>
            <w:noWrap w:val="0"/>
            <w:vAlign w:val="center"/>
          </w:tcPr>
          <w:p w14:paraId="6178B539">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重点、难点情况分析</w:t>
            </w:r>
          </w:p>
        </w:tc>
        <w:tc>
          <w:tcPr>
            <w:tcW w:w="6916" w:type="dxa"/>
            <w:noWrap w:val="0"/>
            <w:vAlign w:val="center"/>
          </w:tcPr>
          <w:p w14:paraId="1D01641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根据供应商结合项目实际情况，对本项目重点、难点分析的合理、科学、可行性进行打分，内容完全符合得5分，比较符合得4分，基本符合得3分，部分符合得2分，不符合或未提供内容得0分。</w:t>
            </w:r>
          </w:p>
        </w:tc>
        <w:tc>
          <w:tcPr>
            <w:tcW w:w="702" w:type="dxa"/>
            <w:noWrap w:val="0"/>
            <w:vAlign w:val="center"/>
          </w:tcPr>
          <w:p w14:paraId="4FF4D4A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1D3A9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1064" w:type="dxa"/>
            <w:vMerge w:val="continue"/>
            <w:noWrap w:val="0"/>
            <w:vAlign w:val="center"/>
          </w:tcPr>
          <w:p w14:paraId="34573C4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continue"/>
            <w:noWrap w:val="0"/>
            <w:vAlign w:val="center"/>
          </w:tcPr>
          <w:p w14:paraId="0D2633F7">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p>
        </w:tc>
        <w:tc>
          <w:tcPr>
            <w:tcW w:w="6916" w:type="dxa"/>
            <w:noWrap w:val="0"/>
            <w:vAlign w:val="center"/>
          </w:tcPr>
          <w:p w14:paraId="551E196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根据供应商结合项目实际情况，对本项目重点、难点的解决措施科学性、合理性、有效性进行打分，内容完全符合得5分，比较符合得4分，基本符合得3分，部分符合得2分，不符合或未提供内容得0分。</w:t>
            </w:r>
          </w:p>
        </w:tc>
        <w:tc>
          <w:tcPr>
            <w:tcW w:w="702" w:type="dxa"/>
            <w:noWrap w:val="0"/>
            <w:vAlign w:val="center"/>
          </w:tcPr>
          <w:p w14:paraId="508A8FE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1E7DE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8" w:hRule="atLeast"/>
          <w:jc w:val="center"/>
        </w:trPr>
        <w:tc>
          <w:tcPr>
            <w:tcW w:w="1064" w:type="dxa"/>
            <w:vMerge w:val="continue"/>
            <w:noWrap w:val="0"/>
            <w:vAlign w:val="center"/>
          </w:tcPr>
          <w:p w14:paraId="2C5C0C9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restart"/>
            <w:noWrap w:val="0"/>
            <w:vAlign w:val="center"/>
          </w:tcPr>
          <w:p w14:paraId="47809EB8">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工作进度安排及保证措施</w:t>
            </w:r>
          </w:p>
        </w:tc>
        <w:tc>
          <w:tcPr>
            <w:tcW w:w="6916" w:type="dxa"/>
            <w:noWrap w:val="0"/>
            <w:vAlign w:val="center"/>
          </w:tcPr>
          <w:p w14:paraId="29B62A2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根据供应商按照采购人的要求，提供详实的工期进度计划的科学、合理性以及详实的进度计划进行打分，内容完全符合得5分，比较符合得4分，基本符合得3分，部分符合得2分，不符合或未提供内容得0分。</w:t>
            </w:r>
          </w:p>
        </w:tc>
        <w:tc>
          <w:tcPr>
            <w:tcW w:w="702" w:type="dxa"/>
            <w:noWrap w:val="0"/>
            <w:vAlign w:val="center"/>
          </w:tcPr>
          <w:p w14:paraId="267085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24DF5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jc w:val="center"/>
        </w:trPr>
        <w:tc>
          <w:tcPr>
            <w:tcW w:w="1064" w:type="dxa"/>
            <w:vMerge w:val="continue"/>
            <w:noWrap w:val="0"/>
            <w:vAlign w:val="center"/>
          </w:tcPr>
          <w:p w14:paraId="0311CF8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continue"/>
            <w:noWrap w:val="0"/>
            <w:vAlign w:val="center"/>
          </w:tcPr>
          <w:p w14:paraId="6831F704">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p>
        </w:tc>
        <w:tc>
          <w:tcPr>
            <w:tcW w:w="6916" w:type="dxa"/>
            <w:noWrap w:val="0"/>
            <w:vAlign w:val="center"/>
          </w:tcPr>
          <w:p w14:paraId="3BE48709">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根据供应商的项目进度保证措施科学、合理、完善等情况进行打分，内容完全符合得5分，比较符合得4分，基本符合得3分，部分符合得2分，不符合或未提供内容得0分。</w:t>
            </w:r>
          </w:p>
        </w:tc>
        <w:tc>
          <w:tcPr>
            <w:tcW w:w="702" w:type="dxa"/>
            <w:noWrap w:val="0"/>
            <w:vAlign w:val="center"/>
          </w:tcPr>
          <w:p w14:paraId="389FEA8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4D2BC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64" w:type="dxa"/>
            <w:vMerge w:val="continue"/>
            <w:noWrap w:val="0"/>
            <w:vAlign w:val="center"/>
          </w:tcPr>
          <w:p w14:paraId="53CB2A3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restart"/>
            <w:noWrap w:val="0"/>
            <w:vAlign w:val="center"/>
          </w:tcPr>
          <w:p w14:paraId="6E4FC235">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拟派人员</w:t>
            </w:r>
          </w:p>
        </w:tc>
        <w:tc>
          <w:tcPr>
            <w:tcW w:w="6916" w:type="dxa"/>
            <w:noWrap w:val="0"/>
            <w:vAlign w:val="center"/>
          </w:tcPr>
          <w:p w14:paraId="4D25C74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项目负责人：</w:t>
            </w:r>
          </w:p>
          <w:p w14:paraId="3D2F742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拟派项目负责人具有水利专业正高级职称的得4分，水利专业副高级职称的得2分。</w:t>
            </w:r>
          </w:p>
          <w:p w14:paraId="5410C10D">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注：</w:t>
            </w:r>
            <w:r>
              <w:rPr>
                <w:rFonts w:hint="eastAsia" w:ascii="宋体" w:hAnsi="宋体" w:eastAsia="宋体" w:cs="宋体"/>
                <w:b w:val="0"/>
                <w:color w:val="auto"/>
                <w:kern w:val="2"/>
                <w:sz w:val="21"/>
                <w:szCs w:val="21"/>
                <w:highlight w:val="none"/>
                <w:lang w:val="en-US" w:eastAsia="zh-CN" w:bidi="ar-SA"/>
              </w:rPr>
              <w:t>响应文件中</w:t>
            </w:r>
            <w:r>
              <w:rPr>
                <w:rFonts w:hint="default" w:ascii="宋体" w:hAnsi="宋体" w:eastAsia="宋体" w:cs="宋体"/>
                <w:b w:val="0"/>
                <w:color w:val="auto"/>
                <w:kern w:val="2"/>
                <w:sz w:val="21"/>
                <w:szCs w:val="21"/>
                <w:highlight w:val="none"/>
                <w:lang w:val="en-US" w:eastAsia="zh-CN" w:bidi="ar-SA"/>
              </w:rPr>
              <w:t>须提供职称证书</w:t>
            </w:r>
            <w:r>
              <w:rPr>
                <w:rFonts w:hint="eastAsia" w:ascii="宋体" w:hAnsi="宋体" w:eastAsia="宋体" w:cs="宋体"/>
                <w:b w:val="0"/>
                <w:color w:val="auto"/>
                <w:kern w:val="2"/>
                <w:sz w:val="21"/>
                <w:szCs w:val="21"/>
                <w:highlight w:val="none"/>
                <w:lang w:val="en-US" w:eastAsia="zh-CN" w:bidi="ar-SA"/>
              </w:rPr>
              <w:t>复印件</w:t>
            </w:r>
            <w:r>
              <w:rPr>
                <w:rFonts w:hint="default" w:ascii="宋体" w:hAnsi="宋体" w:eastAsia="宋体" w:cs="宋体"/>
                <w:b w:val="0"/>
                <w:color w:val="auto"/>
                <w:kern w:val="2"/>
                <w:sz w:val="21"/>
                <w:szCs w:val="21"/>
                <w:highlight w:val="none"/>
                <w:lang w:val="en-US" w:eastAsia="zh-CN" w:bidi="ar-SA"/>
              </w:rPr>
              <w:t>。</w:t>
            </w:r>
          </w:p>
          <w:p w14:paraId="0DF6D46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拟派项目负责人主持或参与过类似绿色水电</w:t>
            </w:r>
            <w:r>
              <w:rPr>
                <w:rFonts w:hint="eastAsia" w:ascii="宋体" w:hAnsi="宋体" w:eastAsia="宋体" w:cs="宋体"/>
                <w:b w:val="0"/>
                <w:color w:val="auto"/>
                <w:kern w:val="2"/>
                <w:sz w:val="21"/>
                <w:szCs w:val="21"/>
                <w:highlight w:val="none"/>
                <w:lang w:val="en-US" w:eastAsia="zh-CN" w:bidi="ar-SA"/>
              </w:rPr>
              <w:t>和安全生产标准化</w:t>
            </w:r>
            <w:r>
              <w:rPr>
                <w:rFonts w:hint="default" w:ascii="宋体" w:hAnsi="宋体" w:eastAsia="宋体" w:cs="宋体"/>
                <w:b w:val="0"/>
                <w:color w:val="auto"/>
                <w:kern w:val="2"/>
                <w:sz w:val="21"/>
                <w:szCs w:val="21"/>
                <w:highlight w:val="none"/>
                <w:lang w:val="en-US" w:eastAsia="zh-CN" w:bidi="ar-SA"/>
              </w:rPr>
              <w:t>项目的每个得1分，最多4分。</w:t>
            </w:r>
          </w:p>
          <w:p w14:paraId="0D682816">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注：</w:t>
            </w:r>
            <w:r>
              <w:rPr>
                <w:rFonts w:hint="eastAsia" w:ascii="宋体" w:hAnsi="宋体" w:eastAsia="宋体" w:cs="宋体"/>
                <w:b w:val="0"/>
                <w:color w:val="auto"/>
                <w:kern w:val="2"/>
                <w:sz w:val="21"/>
                <w:szCs w:val="21"/>
                <w:highlight w:val="none"/>
                <w:lang w:val="en-US" w:eastAsia="zh-CN" w:bidi="ar-SA"/>
              </w:rPr>
              <w:t>响应文件中</w:t>
            </w:r>
            <w:r>
              <w:rPr>
                <w:rFonts w:hint="default" w:ascii="宋体" w:hAnsi="宋体" w:eastAsia="宋体" w:cs="宋体"/>
                <w:b w:val="0"/>
                <w:color w:val="auto"/>
                <w:kern w:val="2"/>
                <w:sz w:val="21"/>
                <w:szCs w:val="21"/>
                <w:highlight w:val="none"/>
                <w:lang w:val="en-US" w:eastAsia="zh-CN" w:bidi="ar-SA"/>
              </w:rPr>
              <w:t>须提供成果报告（封面、扉页加盖业主单位公章）或正式出版物</w:t>
            </w:r>
            <w:r>
              <w:rPr>
                <w:rFonts w:hint="eastAsia" w:ascii="宋体" w:hAnsi="宋体" w:eastAsia="宋体" w:cs="宋体"/>
                <w:b w:val="0"/>
                <w:color w:val="auto"/>
                <w:kern w:val="2"/>
                <w:sz w:val="21"/>
                <w:szCs w:val="21"/>
                <w:highlight w:val="none"/>
                <w:lang w:val="en-US" w:eastAsia="zh-CN" w:bidi="ar-SA"/>
              </w:rPr>
              <w:t>复印件</w:t>
            </w:r>
            <w:r>
              <w:rPr>
                <w:rFonts w:hint="default" w:ascii="宋体" w:hAnsi="宋体" w:eastAsia="宋体" w:cs="宋体"/>
                <w:b w:val="0"/>
                <w:color w:val="auto"/>
                <w:kern w:val="2"/>
                <w:sz w:val="21"/>
                <w:szCs w:val="21"/>
                <w:highlight w:val="none"/>
                <w:lang w:val="en-US" w:eastAsia="zh-CN" w:bidi="ar-SA"/>
              </w:rPr>
              <w:t>，否则不得分。</w:t>
            </w:r>
          </w:p>
        </w:tc>
        <w:tc>
          <w:tcPr>
            <w:tcW w:w="702" w:type="dxa"/>
            <w:noWrap w:val="0"/>
            <w:vAlign w:val="center"/>
          </w:tcPr>
          <w:p w14:paraId="0B2D236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8</w:t>
            </w:r>
          </w:p>
        </w:tc>
      </w:tr>
      <w:tr w14:paraId="74965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64" w:type="dxa"/>
            <w:vMerge w:val="continue"/>
            <w:noWrap w:val="0"/>
            <w:vAlign w:val="center"/>
          </w:tcPr>
          <w:p w14:paraId="384B1CBB">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vMerge w:val="continue"/>
            <w:noWrap w:val="0"/>
            <w:vAlign w:val="center"/>
          </w:tcPr>
          <w:p w14:paraId="0A411BAA">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p>
        </w:tc>
        <w:tc>
          <w:tcPr>
            <w:tcW w:w="6916" w:type="dxa"/>
            <w:noWrap w:val="0"/>
            <w:vAlign w:val="center"/>
          </w:tcPr>
          <w:p w14:paraId="7116B80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项目组其他人员：</w:t>
            </w:r>
          </w:p>
          <w:p w14:paraId="0B7FFCD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拟派项目组成员（除项目负责人外）具有水利专业副高及以上专业技术职称的，每人得2分；具有中级职称的，每人得1分。最多6分。</w:t>
            </w:r>
          </w:p>
          <w:p w14:paraId="61004462">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注：响应文件中须提供职称证书</w:t>
            </w:r>
            <w:r>
              <w:rPr>
                <w:rFonts w:hint="eastAsia" w:ascii="宋体" w:hAnsi="宋体" w:eastAsia="宋体" w:cs="宋体"/>
                <w:b w:val="0"/>
                <w:color w:val="auto"/>
                <w:kern w:val="2"/>
                <w:sz w:val="21"/>
                <w:szCs w:val="21"/>
                <w:highlight w:val="none"/>
                <w:lang w:val="en-US" w:eastAsia="zh-CN" w:bidi="ar-SA"/>
              </w:rPr>
              <w:t>复印件</w:t>
            </w:r>
            <w:r>
              <w:rPr>
                <w:rFonts w:hint="default" w:ascii="宋体" w:hAnsi="宋体" w:eastAsia="宋体" w:cs="宋体"/>
                <w:b w:val="0"/>
                <w:color w:val="auto"/>
                <w:kern w:val="2"/>
                <w:sz w:val="21"/>
                <w:szCs w:val="21"/>
                <w:highlight w:val="none"/>
                <w:lang w:val="en-US" w:eastAsia="zh-CN" w:bidi="ar-SA"/>
              </w:rPr>
              <w:t>。</w:t>
            </w:r>
          </w:p>
          <w:p w14:paraId="351ADCA1">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项目组成员(除项目负责人外)参加过类似绿色水电</w:t>
            </w:r>
            <w:r>
              <w:rPr>
                <w:rFonts w:hint="eastAsia" w:ascii="宋体" w:hAnsi="宋体" w:eastAsia="宋体" w:cs="宋体"/>
                <w:b w:val="0"/>
                <w:color w:val="auto"/>
                <w:kern w:val="2"/>
                <w:sz w:val="21"/>
                <w:szCs w:val="21"/>
                <w:highlight w:val="none"/>
                <w:lang w:val="en-US" w:eastAsia="zh-CN" w:bidi="ar-SA"/>
              </w:rPr>
              <w:t>和安全生产标准化</w:t>
            </w:r>
            <w:r>
              <w:rPr>
                <w:rFonts w:hint="default" w:ascii="宋体" w:hAnsi="宋体" w:eastAsia="宋体" w:cs="宋体"/>
                <w:b w:val="0"/>
                <w:color w:val="auto"/>
                <w:kern w:val="2"/>
                <w:sz w:val="21"/>
                <w:szCs w:val="21"/>
                <w:highlight w:val="none"/>
                <w:lang w:val="en-US" w:eastAsia="zh-CN" w:bidi="ar-SA"/>
              </w:rPr>
              <w:t>项目的每人每项得1分，最多4分。</w:t>
            </w:r>
          </w:p>
          <w:p w14:paraId="0C73349A">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注：</w:t>
            </w:r>
            <w:r>
              <w:rPr>
                <w:rFonts w:hint="eastAsia" w:ascii="宋体" w:hAnsi="宋体" w:eastAsia="宋体" w:cs="宋体"/>
                <w:b w:val="0"/>
                <w:color w:val="auto"/>
                <w:kern w:val="2"/>
                <w:sz w:val="21"/>
                <w:szCs w:val="21"/>
                <w:highlight w:val="none"/>
                <w:lang w:val="en-US" w:eastAsia="zh-CN" w:bidi="ar-SA"/>
              </w:rPr>
              <w:t>响应文件中</w:t>
            </w:r>
            <w:r>
              <w:rPr>
                <w:rFonts w:hint="default" w:ascii="宋体" w:hAnsi="宋体" w:eastAsia="宋体" w:cs="宋体"/>
                <w:b w:val="0"/>
                <w:color w:val="auto"/>
                <w:kern w:val="2"/>
                <w:sz w:val="21"/>
                <w:szCs w:val="21"/>
                <w:highlight w:val="none"/>
                <w:lang w:val="en-US" w:eastAsia="zh-CN" w:bidi="ar-SA"/>
              </w:rPr>
              <w:t>须提供成果报告（封面、扉页加盖业主单位公章）或正式出版物</w:t>
            </w:r>
            <w:r>
              <w:rPr>
                <w:rFonts w:hint="eastAsia" w:ascii="宋体" w:hAnsi="宋体" w:eastAsia="宋体" w:cs="宋体"/>
                <w:b w:val="0"/>
                <w:color w:val="auto"/>
                <w:kern w:val="2"/>
                <w:sz w:val="21"/>
                <w:szCs w:val="21"/>
                <w:highlight w:val="none"/>
                <w:lang w:val="en-US" w:eastAsia="zh-CN" w:bidi="ar-SA"/>
              </w:rPr>
              <w:t>复印件</w:t>
            </w:r>
            <w:r>
              <w:rPr>
                <w:rFonts w:hint="default" w:ascii="宋体" w:hAnsi="宋体" w:eastAsia="宋体" w:cs="宋体"/>
                <w:b w:val="0"/>
                <w:color w:val="auto"/>
                <w:kern w:val="2"/>
                <w:sz w:val="21"/>
                <w:szCs w:val="21"/>
                <w:highlight w:val="none"/>
                <w:lang w:val="en-US" w:eastAsia="zh-CN" w:bidi="ar-SA"/>
              </w:rPr>
              <w:t>。</w:t>
            </w:r>
          </w:p>
        </w:tc>
        <w:tc>
          <w:tcPr>
            <w:tcW w:w="702" w:type="dxa"/>
            <w:noWrap w:val="0"/>
            <w:vAlign w:val="center"/>
          </w:tcPr>
          <w:p w14:paraId="7AE7A8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10</w:t>
            </w:r>
          </w:p>
        </w:tc>
      </w:tr>
      <w:tr w14:paraId="3B83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5" w:hRule="atLeast"/>
          <w:jc w:val="center"/>
        </w:trPr>
        <w:tc>
          <w:tcPr>
            <w:tcW w:w="1064" w:type="dxa"/>
            <w:vMerge w:val="continue"/>
            <w:noWrap w:val="0"/>
            <w:vAlign w:val="center"/>
          </w:tcPr>
          <w:p w14:paraId="5593A3B8">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noWrap w:val="0"/>
            <w:vAlign w:val="center"/>
          </w:tcPr>
          <w:p w14:paraId="029EDF6B">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服务保障措施</w:t>
            </w:r>
          </w:p>
        </w:tc>
        <w:tc>
          <w:tcPr>
            <w:tcW w:w="6916" w:type="dxa"/>
            <w:noWrap w:val="0"/>
            <w:vAlign w:val="center"/>
          </w:tcPr>
          <w:p w14:paraId="2FD9C91F">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提供的服务方案和承诺情况，包括但不限于服务方案、后续服务承诺、安排、服务响应时间、不得私自更换项目人员等，由评委在分值范围内打分。内容完全符合得5分，比较符合得4分，基本符合得3分，部分符合得2分，不符合或未提供内容得0分。</w:t>
            </w:r>
          </w:p>
        </w:tc>
        <w:tc>
          <w:tcPr>
            <w:tcW w:w="702" w:type="dxa"/>
            <w:noWrap w:val="0"/>
            <w:vAlign w:val="center"/>
          </w:tcPr>
          <w:p w14:paraId="2E0380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22F6E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jc w:val="center"/>
        </w:trPr>
        <w:tc>
          <w:tcPr>
            <w:tcW w:w="1064" w:type="dxa"/>
            <w:vMerge w:val="continue"/>
            <w:noWrap w:val="0"/>
            <w:vAlign w:val="center"/>
          </w:tcPr>
          <w:p w14:paraId="4E77F1FD">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noWrap w:val="0"/>
            <w:vAlign w:val="center"/>
          </w:tcPr>
          <w:p w14:paraId="08885EC4">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质量保证措施</w:t>
            </w:r>
          </w:p>
        </w:tc>
        <w:tc>
          <w:tcPr>
            <w:tcW w:w="6916" w:type="dxa"/>
            <w:noWrap w:val="0"/>
            <w:vAlign w:val="center"/>
          </w:tcPr>
          <w:p w14:paraId="4BC951F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根据供应商针对本项目的质量保证措施科学、合理、完善进行打分，内容完全符合得5分，比较符合得4分，基本符合得3分，部分符合得2分，不符合或未提供内容得0分。</w:t>
            </w:r>
          </w:p>
        </w:tc>
        <w:tc>
          <w:tcPr>
            <w:tcW w:w="702" w:type="dxa"/>
            <w:noWrap w:val="0"/>
            <w:vAlign w:val="center"/>
          </w:tcPr>
          <w:p w14:paraId="3ECB36A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67CE9A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6" w:hRule="atLeast"/>
          <w:jc w:val="center"/>
        </w:trPr>
        <w:tc>
          <w:tcPr>
            <w:tcW w:w="1064" w:type="dxa"/>
            <w:vMerge w:val="continue"/>
            <w:noWrap w:val="0"/>
            <w:vAlign w:val="center"/>
          </w:tcPr>
          <w:p w14:paraId="61F9BC4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1"/>
                <w:szCs w:val="21"/>
                <w:highlight w:val="none"/>
              </w:rPr>
            </w:pPr>
          </w:p>
        </w:tc>
        <w:tc>
          <w:tcPr>
            <w:tcW w:w="1579" w:type="dxa"/>
            <w:noWrap w:val="0"/>
            <w:vAlign w:val="center"/>
          </w:tcPr>
          <w:p w14:paraId="500E2C1E">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保密措施</w:t>
            </w:r>
          </w:p>
        </w:tc>
        <w:tc>
          <w:tcPr>
            <w:tcW w:w="6916" w:type="dxa"/>
            <w:noWrap w:val="0"/>
            <w:vAlign w:val="center"/>
          </w:tcPr>
          <w:p w14:paraId="5C938885">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宋体" w:hAnsi="宋体" w:eastAsia="宋体" w:cs="宋体"/>
                <w:b w:val="0"/>
                <w:color w:val="auto"/>
                <w:kern w:val="2"/>
                <w:sz w:val="21"/>
                <w:szCs w:val="21"/>
                <w:highlight w:val="none"/>
                <w:lang w:val="en-US" w:eastAsia="zh-CN" w:bidi="ar-SA"/>
              </w:rPr>
            </w:pPr>
            <w:r>
              <w:rPr>
                <w:rFonts w:hint="default" w:ascii="宋体" w:hAnsi="宋体" w:eastAsia="宋体" w:cs="宋体"/>
                <w:b w:val="0"/>
                <w:color w:val="auto"/>
                <w:kern w:val="2"/>
                <w:sz w:val="21"/>
                <w:szCs w:val="21"/>
                <w:highlight w:val="none"/>
                <w:lang w:val="en-US" w:eastAsia="zh-CN" w:bidi="ar-SA"/>
              </w:rPr>
              <w:t>根据供应商提供的资料保密方案的合理性、详细性及切合实际情况等，由评委在分值范围内打分。内容完全符合得5分，比较符合得4分，基本符合得3分，部分符合得2分，不符合或未提供内容得0分。</w:t>
            </w:r>
          </w:p>
        </w:tc>
        <w:tc>
          <w:tcPr>
            <w:tcW w:w="702" w:type="dxa"/>
            <w:noWrap w:val="0"/>
            <w:vAlign w:val="center"/>
          </w:tcPr>
          <w:p w14:paraId="2ADAD1C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5</w:t>
            </w:r>
          </w:p>
        </w:tc>
      </w:tr>
      <w:tr w14:paraId="46FEA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1" w:hRule="atLeast"/>
          <w:jc w:val="center"/>
        </w:trPr>
        <w:tc>
          <w:tcPr>
            <w:tcW w:w="1064" w:type="dxa"/>
            <w:noWrap w:val="0"/>
            <w:vAlign w:val="center"/>
          </w:tcPr>
          <w:p w14:paraId="223AE3B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bCs/>
                <w:color w:val="auto"/>
                <w:sz w:val="21"/>
                <w:szCs w:val="21"/>
                <w:highlight w:val="none"/>
                <w:lang w:val="en-US" w:eastAsia="zh-CN"/>
              </w:rPr>
            </w:pPr>
            <w:r>
              <w:rPr>
                <w:rFonts w:hint="eastAsia" w:ascii="宋体" w:hAnsi="宋体" w:cs="宋体"/>
                <w:b/>
                <w:bCs/>
                <w:color w:val="auto"/>
                <w:sz w:val="21"/>
                <w:szCs w:val="21"/>
                <w:highlight w:val="none"/>
                <w:lang w:val="en-US" w:eastAsia="zh-CN"/>
              </w:rPr>
              <w:t>价格分</w:t>
            </w:r>
          </w:p>
          <w:p w14:paraId="12A3301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分）</w:t>
            </w:r>
          </w:p>
        </w:tc>
        <w:tc>
          <w:tcPr>
            <w:tcW w:w="8495" w:type="dxa"/>
            <w:gridSpan w:val="2"/>
            <w:noWrap w:val="0"/>
            <w:vAlign w:val="center"/>
          </w:tcPr>
          <w:p w14:paraId="66BE270C">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价格分统一采用低价优先法，即满足谈判文件要求且最终报价最低供应商报价作为谈判基准价，其价格分为满分10分。其他供应商的价格分统一按照下列公式计算（四舍五入保留至小数点后两位数）：</w:t>
            </w:r>
          </w:p>
          <w:p w14:paraId="737C64D8">
            <w:pPr>
              <w:pStyle w:val="2"/>
              <w:keepNext w:val="0"/>
              <w:keepLines w:val="0"/>
              <w:pageBreakBefore w:val="0"/>
              <w:widowControl w:val="0"/>
              <w:kinsoku/>
              <w:wordWrap/>
              <w:overflowPunct/>
              <w:topLinePunct w:val="0"/>
              <w:autoSpaceDE/>
              <w:autoSpaceDN/>
              <w:bidi w:val="0"/>
              <w:adjustRightInd/>
              <w:snapToGrid/>
              <w:spacing w:after="0" w:line="240" w:lineRule="auto"/>
              <w:textAlignment w:val="auto"/>
              <w:rPr>
                <w:rFonts w:hint="eastAsia"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价格分＝（谈判基准价/最终谈判报价）×10％×100</w:t>
            </w:r>
          </w:p>
        </w:tc>
        <w:tc>
          <w:tcPr>
            <w:tcW w:w="702" w:type="dxa"/>
            <w:noWrap w:val="0"/>
            <w:vAlign w:val="center"/>
          </w:tcPr>
          <w:p w14:paraId="53B4D12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宋体" w:hAnsi="宋体" w:eastAsia="宋体" w:cs="宋体"/>
                <w:b w:val="0"/>
                <w:color w:val="auto"/>
                <w:kern w:val="2"/>
                <w:sz w:val="21"/>
                <w:szCs w:val="21"/>
                <w:highlight w:val="none"/>
                <w:lang w:val="en-US" w:eastAsia="zh-CN" w:bidi="ar-SA"/>
              </w:rPr>
            </w:pPr>
            <w:r>
              <w:rPr>
                <w:rFonts w:hint="eastAsia" w:ascii="宋体" w:hAnsi="宋体" w:eastAsia="宋体" w:cs="宋体"/>
                <w:b w:val="0"/>
                <w:color w:val="auto"/>
                <w:kern w:val="2"/>
                <w:sz w:val="21"/>
                <w:szCs w:val="21"/>
                <w:highlight w:val="none"/>
                <w:lang w:val="en-US" w:eastAsia="zh-CN" w:bidi="ar-SA"/>
              </w:rPr>
              <w:t>10</w:t>
            </w:r>
          </w:p>
        </w:tc>
      </w:tr>
    </w:tbl>
    <w:p w14:paraId="16981D68">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cs="宋体"/>
          <w:b/>
          <w:color w:val="auto"/>
          <w:kern w:val="2"/>
          <w:highlight w:val="none"/>
        </w:rPr>
      </w:pPr>
    </w:p>
    <w:p w14:paraId="71189D33">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82" w:firstLineChars="200"/>
        <w:jc w:val="left"/>
        <w:textAlignment w:val="auto"/>
        <w:rPr>
          <w:rFonts w:hint="eastAsia" w:cs="宋体"/>
          <w:b/>
          <w:color w:val="auto"/>
          <w:kern w:val="2"/>
          <w:highlight w:val="none"/>
        </w:rPr>
      </w:pPr>
      <w:r>
        <w:rPr>
          <w:rFonts w:hint="eastAsia" w:cs="宋体"/>
          <w:b/>
          <w:color w:val="auto"/>
          <w:kern w:val="2"/>
          <w:highlight w:val="none"/>
        </w:rPr>
        <w:t>一、评审办法：</w:t>
      </w:r>
    </w:p>
    <w:p w14:paraId="67E7536D">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hint="eastAsia" w:cs="宋体"/>
          <w:b/>
          <w:color w:val="auto"/>
          <w:kern w:val="2"/>
          <w:sz w:val="21"/>
          <w:szCs w:val="21"/>
          <w:highlight w:val="none"/>
        </w:rPr>
      </w:pPr>
      <w:r>
        <w:rPr>
          <w:rFonts w:hint="eastAsia" w:cs="宋体"/>
          <w:b/>
          <w:color w:val="auto"/>
          <w:kern w:val="2"/>
          <w:sz w:val="21"/>
          <w:szCs w:val="21"/>
          <w:highlight w:val="none"/>
        </w:rPr>
        <w:t>采用</w:t>
      </w:r>
      <w:r>
        <w:rPr>
          <w:rFonts w:hint="eastAsia" w:cs="宋体"/>
          <w:b/>
          <w:color w:val="auto"/>
          <w:sz w:val="21"/>
          <w:szCs w:val="21"/>
          <w:highlight w:val="none"/>
          <w:u w:val="single"/>
        </w:rPr>
        <w:t>综合评分</w:t>
      </w:r>
      <w:r>
        <w:rPr>
          <w:rFonts w:hint="eastAsia" w:cs="宋体"/>
          <w:b/>
          <w:color w:val="auto"/>
          <w:sz w:val="21"/>
          <w:szCs w:val="21"/>
          <w:highlight w:val="none"/>
          <w:u w:val="single"/>
          <w:lang w:eastAsia="zh-CN"/>
        </w:rPr>
        <w:t>法</w:t>
      </w:r>
      <w:r>
        <w:rPr>
          <w:rFonts w:hint="eastAsia" w:cs="宋体"/>
          <w:b/>
          <w:color w:val="auto"/>
          <w:kern w:val="2"/>
          <w:sz w:val="21"/>
          <w:szCs w:val="21"/>
          <w:highlight w:val="none"/>
        </w:rPr>
        <w:t>。</w:t>
      </w:r>
    </w:p>
    <w:p w14:paraId="35FD3CD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cs="宋体"/>
          <w:color w:val="auto"/>
          <w:szCs w:val="21"/>
          <w:highlight w:val="none"/>
        </w:rPr>
      </w:pPr>
      <w:r>
        <w:rPr>
          <w:rFonts w:hint="eastAsia" w:ascii="宋体" w:hAnsi="宋体" w:cs="宋体"/>
          <w:color w:val="auto"/>
          <w:szCs w:val="21"/>
          <w:highlight w:val="none"/>
        </w:rPr>
        <w:t>对各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响应文件根据</w:t>
      </w:r>
      <w:r>
        <w:rPr>
          <w:rFonts w:hint="eastAsia" w:ascii="宋体" w:hAnsi="宋体" w:cs="宋体"/>
          <w:color w:val="auto"/>
          <w:kern w:val="10"/>
          <w:szCs w:val="21"/>
          <w:highlight w:val="none"/>
        </w:rPr>
        <w:t>评审办法前附表的内容</w:t>
      </w:r>
      <w:r>
        <w:rPr>
          <w:rFonts w:hint="eastAsia" w:ascii="宋体" w:hAnsi="宋体" w:cs="宋体"/>
          <w:color w:val="auto"/>
          <w:szCs w:val="21"/>
          <w:highlight w:val="none"/>
        </w:rPr>
        <w:t>进行符合性评审，通过符合性评审的</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供应商参与</w:t>
      </w:r>
      <w:r>
        <w:rPr>
          <w:rFonts w:hint="eastAsia" w:ascii="宋体" w:hAnsi="宋体" w:cs="宋体"/>
          <w:b/>
          <w:bCs/>
          <w:color w:val="auto"/>
          <w:szCs w:val="21"/>
          <w:highlight w:val="none"/>
          <w:lang w:eastAsia="zh-CN"/>
        </w:rPr>
        <w:t>谈判</w:t>
      </w:r>
      <w:r>
        <w:rPr>
          <w:rFonts w:hint="eastAsia" w:ascii="宋体" w:hAnsi="宋体" w:cs="宋体"/>
          <w:b/>
          <w:bCs/>
          <w:color w:val="auto"/>
          <w:szCs w:val="21"/>
          <w:highlight w:val="none"/>
        </w:rPr>
        <w:t>和第二轮报价</w:t>
      </w:r>
      <w:r>
        <w:rPr>
          <w:rFonts w:hint="eastAsia" w:ascii="宋体" w:hAnsi="宋体" w:cs="宋体"/>
          <w:color w:val="auto"/>
          <w:szCs w:val="21"/>
          <w:highlight w:val="none"/>
        </w:rPr>
        <w:t>。</w:t>
      </w:r>
    </w:p>
    <w:p w14:paraId="2F88F360">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color w:val="auto"/>
          <w:szCs w:val="21"/>
          <w:highlight w:val="none"/>
          <w:lang w:val="en-US" w:eastAsia="zh-CN"/>
        </w:rPr>
      </w:pPr>
      <w:r>
        <w:rPr>
          <w:rFonts w:hint="eastAsia" w:ascii="宋体" w:hAnsi="宋体" w:cs="宋体"/>
          <w:b/>
          <w:color w:val="auto"/>
          <w:szCs w:val="21"/>
          <w:highlight w:val="none"/>
        </w:rPr>
        <w:t>本项目将对各供应商的</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响应文件进行符合性评审，符合性评审通过的</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供应商进入</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环节。即各供应商在</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前先在其标书《项目报价书》中进行第一轮报价，第一轮报价高于控制价的按无效处理。</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结束后，现场填写《</w:t>
      </w:r>
      <w:r>
        <w:rPr>
          <w:rFonts w:hint="eastAsia" w:ascii="宋体" w:hAnsi="宋体" w:cs="宋体"/>
          <w:b/>
          <w:color w:val="auto"/>
          <w:szCs w:val="21"/>
          <w:highlight w:val="none"/>
          <w:lang w:eastAsia="zh-CN"/>
        </w:rPr>
        <w:t>最终承诺报价表</w:t>
      </w:r>
      <w:r>
        <w:rPr>
          <w:rFonts w:hint="eastAsia" w:ascii="宋体" w:hAnsi="宋体" w:cs="宋体"/>
          <w:b/>
          <w:color w:val="auto"/>
          <w:szCs w:val="21"/>
          <w:highlight w:val="none"/>
        </w:rPr>
        <w:t>》</w:t>
      </w:r>
      <w:r>
        <w:rPr>
          <w:rFonts w:hint="eastAsia" w:ascii="宋体" w:hAnsi="宋体" w:cs="宋体"/>
          <w:b/>
          <w:color w:val="auto"/>
          <w:szCs w:val="21"/>
          <w:highlight w:val="none"/>
          <w:lang w:eastAsia="zh-CN"/>
        </w:rPr>
        <w:t>，</w:t>
      </w:r>
      <w:r>
        <w:rPr>
          <w:rFonts w:hint="eastAsia" w:ascii="宋体" w:hAnsi="宋体" w:cs="宋体"/>
          <w:b/>
          <w:color w:val="auto"/>
          <w:szCs w:val="21"/>
          <w:highlight w:val="none"/>
          <w:lang w:val="en-US" w:eastAsia="zh-CN"/>
        </w:rPr>
        <w:t>后一轮报价不得高于上一轮报价，高于上一轮报价按无效处理</w:t>
      </w:r>
      <w:r>
        <w:rPr>
          <w:rFonts w:hint="eastAsia" w:ascii="宋体" w:hAnsi="宋体" w:cs="宋体"/>
          <w:b/>
          <w:color w:val="auto"/>
          <w:szCs w:val="21"/>
          <w:highlight w:val="none"/>
        </w:rPr>
        <w:t>。</w:t>
      </w:r>
    </w:p>
    <w:p w14:paraId="2F91384F">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ascii="宋体" w:cs="宋体"/>
          <w:snapToGrid w:val="0"/>
          <w:color w:val="auto"/>
          <w:kern w:val="0"/>
          <w:szCs w:val="21"/>
          <w:highlight w:val="none"/>
        </w:rPr>
      </w:pPr>
      <w:r>
        <w:rPr>
          <w:rFonts w:hint="eastAsia" w:ascii="宋体" w:hAnsi="宋体" w:cs="宋体"/>
          <w:b/>
          <w:color w:val="auto"/>
          <w:szCs w:val="21"/>
          <w:highlight w:val="none"/>
        </w:rPr>
        <w:t>按照通过符合性评审，</w:t>
      </w:r>
      <w:r>
        <w:rPr>
          <w:rFonts w:hint="eastAsia" w:ascii="宋体" w:hAnsi="宋体" w:cs="宋体"/>
          <w:b/>
          <w:bCs/>
          <w:snapToGrid w:val="0"/>
          <w:color w:val="auto"/>
          <w:kern w:val="0"/>
          <w:szCs w:val="21"/>
          <w:highlight w:val="none"/>
        </w:rPr>
        <w:t>经</w:t>
      </w:r>
      <w:r>
        <w:rPr>
          <w:rFonts w:hint="eastAsia" w:ascii="宋体" w:hAnsi="宋体" w:cs="宋体"/>
          <w:b/>
          <w:bCs/>
          <w:snapToGrid w:val="0"/>
          <w:color w:val="auto"/>
          <w:kern w:val="0"/>
          <w:szCs w:val="21"/>
          <w:highlight w:val="none"/>
          <w:lang w:eastAsia="zh-CN"/>
        </w:rPr>
        <w:t>谈判</w:t>
      </w:r>
      <w:r>
        <w:rPr>
          <w:rFonts w:hint="eastAsia" w:ascii="宋体" w:hAnsi="宋体" w:cs="宋体"/>
          <w:b/>
          <w:bCs/>
          <w:snapToGrid w:val="0"/>
          <w:color w:val="auto"/>
          <w:kern w:val="0"/>
          <w:szCs w:val="21"/>
          <w:highlight w:val="none"/>
        </w:rPr>
        <w:t>确定最终采购需求和提交最后报价的供应商后，由</w:t>
      </w:r>
      <w:r>
        <w:rPr>
          <w:rFonts w:hint="eastAsia" w:ascii="宋体" w:hAnsi="宋体" w:cs="宋体"/>
          <w:b/>
          <w:bCs/>
          <w:snapToGrid w:val="0"/>
          <w:color w:val="auto"/>
          <w:kern w:val="0"/>
          <w:szCs w:val="21"/>
          <w:highlight w:val="none"/>
          <w:lang w:eastAsia="zh-CN"/>
        </w:rPr>
        <w:t>谈判</w:t>
      </w:r>
      <w:r>
        <w:rPr>
          <w:rFonts w:hint="eastAsia" w:ascii="宋体" w:hAnsi="宋体" w:cs="宋体"/>
          <w:b/>
          <w:bCs/>
          <w:snapToGrid w:val="0"/>
          <w:color w:val="auto"/>
          <w:kern w:val="0"/>
          <w:szCs w:val="21"/>
          <w:highlight w:val="none"/>
        </w:rPr>
        <w:t>小组采用综合评分法对提交最后报价的供应商的响应文件和最后报价进行综合评分。</w:t>
      </w:r>
      <w:r>
        <w:rPr>
          <w:rFonts w:hint="eastAsia" w:ascii="宋体" w:hAnsi="宋体" w:cs="宋体"/>
          <w:b/>
          <w:bCs/>
          <w:snapToGrid w:val="0"/>
          <w:color w:val="auto"/>
          <w:kern w:val="0"/>
          <w:szCs w:val="21"/>
          <w:highlight w:val="none"/>
          <w:lang w:eastAsia="zh-CN"/>
        </w:rPr>
        <w:t>谈判</w:t>
      </w:r>
      <w:r>
        <w:rPr>
          <w:rFonts w:hint="eastAsia" w:ascii="宋体" w:hAnsi="宋体" w:cs="宋体"/>
          <w:b/>
          <w:bCs/>
          <w:snapToGrid w:val="0"/>
          <w:color w:val="auto"/>
          <w:kern w:val="0"/>
          <w:szCs w:val="21"/>
          <w:highlight w:val="none"/>
        </w:rPr>
        <w:t>小组应当根据综合评分情况，按照评审得分由高到低顺序推荐</w:t>
      </w:r>
      <w:r>
        <w:rPr>
          <w:rFonts w:hint="eastAsia" w:ascii="宋体" w:hAnsi="宋体" w:cs="宋体"/>
          <w:b/>
          <w:bCs/>
          <w:snapToGrid w:val="0"/>
          <w:color w:val="auto"/>
          <w:kern w:val="0"/>
          <w:szCs w:val="21"/>
          <w:highlight w:val="none"/>
          <w:lang w:val="en-US" w:eastAsia="zh-CN"/>
        </w:rPr>
        <w:t>1-</w:t>
      </w:r>
      <w:r>
        <w:rPr>
          <w:rFonts w:ascii="宋体" w:hAnsi="宋体" w:cs="宋体"/>
          <w:b/>
          <w:bCs/>
          <w:snapToGrid w:val="0"/>
          <w:color w:val="auto"/>
          <w:kern w:val="0"/>
          <w:szCs w:val="21"/>
          <w:highlight w:val="none"/>
        </w:rPr>
        <w:t>3</w:t>
      </w:r>
      <w:r>
        <w:rPr>
          <w:rFonts w:hint="eastAsia" w:ascii="宋体" w:hAnsi="宋体" w:cs="宋体"/>
          <w:b/>
          <w:bCs/>
          <w:snapToGrid w:val="0"/>
          <w:color w:val="auto"/>
          <w:kern w:val="0"/>
          <w:szCs w:val="21"/>
          <w:highlight w:val="none"/>
        </w:rPr>
        <w:t>名成交候选供应商，并编写评审报告。评审得分相同的，按照最后报价由低到高的顺序推荐。评审得分且最后报价相同的，按照技术指标优劣顺序推荐。</w:t>
      </w:r>
    </w:p>
    <w:p w14:paraId="4B3D26B0">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宋体"/>
          <w:b/>
          <w:color w:val="auto"/>
          <w:szCs w:val="21"/>
          <w:highlight w:val="none"/>
        </w:rPr>
      </w:pPr>
      <w:r>
        <w:rPr>
          <w:rFonts w:hint="eastAsia" w:ascii="宋体" w:hAnsi="宋体" w:cs="宋体"/>
          <w:b/>
          <w:color w:val="auto"/>
          <w:szCs w:val="21"/>
          <w:highlight w:val="none"/>
        </w:rPr>
        <w:t>二、</w:t>
      </w:r>
      <w:r>
        <w:rPr>
          <w:rFonts w:hint="eastAsia" w:ascii="宋体" w:hAnsi="宋体" w:cs="宋体"/>
          <w:b/>
          <w:bCs/>
          <w:color w:val="auto"/>
          <w:kern w:val="10"/>
          <w:szCs w:val="21"/>
          <w:highlight w:val="none"/>
        </w:rPr>
        <w:t>评审</w:t>
      </w:r>
      <w:r>
        <w:rPr>
          <w:rFonts w:hint="eastAsia" w:ascii="宋体" w:hAnsi="宋体" w:cs="宋体"/>
          <w:b/>
          <w:color w:val="auto"/>
          <w:szCs w:val="21"/>
          <w:highlight w:val="none"/>
        </w:rPr>
        <w:t>、定标程序：</w:t>
      </w:r>
    </w:p>
    <w:p w14:paraId="63FE8F58">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cs="宋体"/>
          <w:color w:val="auto"/>
          <w:kern w:val="2"/>
          <w:sz w:val="21"/>
          <w:szCs w:val="21"/>
          <w:highlight w:val="none"/>
        </w:rPr>
      </w:pPr>
      <w:r>
        <w:rPr>
          <w:rFonts w:hint="eastAsia" w:cs="宋体"/>
          <w:color w:val="auto"/>
          <w:kern w:val="2"/>
          <w:sz w:val="21"/>
          <w:szCs w:val="21"/>
          <w:highlight w:val="none"/>
        </w:rPr>
        <w:t>按照以下顺序进行：“</w:t>
      </w:r>
      <w:r>
        <w:rPr>
          <w:rFonts w:hint="eastAsia" w:cs="宋体"/>
          <w:b/>
          <w:color w:val="auto"/>
          <w:kern w:val="2"/>
          <w:sz w:val="21"/>
          <w:szCs w:val="21"/>
          <w:highlight w:val="none"/>
        </w:rPr>
        <w:t>符合性评审→</w:t>
      </w:r>
      <w:r>
        <w:rPr>
          <w:rFonts w:hint="eastAsia" w:cs="宋体"/>
          <w:b/>
          <w:color w:val="auto"/>
          <w:kern w:val="2"/>
          <w:sz w:val="21"/>
          <w:szCs w:val="21"/>
          <w:highlight w:val="none"/>
          <w:lang w:eastAsia="zh-CN"/>
        </w:rPr>
        <w:t>谈判（</w:t>
      </w:r>
      <w:r>
        <w:rPr>
          <w:rFonts w:hint="eastAsia" w:cs="宋体"/>
          <w:b/>
          <w:color w:val="auto"/>
          <w:kern w:val="2"/>
          <w:sz w:val="21"/>
          <w:szCs w:val="21"/>
          <w:highlight w:val="none"/>
          <w:lang w:val="en-US" w:eastAsia="zh-CN"/>
        </w:rPr>
        <w:t>技术部分评分</w:t>
      </w:r>
      <w:r>
        <w:rPr>
          <w:rFonts w:hint="eastAsia" w:cs="宋体"/>
          <w:b/>
          <w:color w:val="auto"/>
          <w:kern w:val="2"/>
          <w:sz w:val="21"/>
          <w:szCs w:val="21"/>
          <w:highlight w:val="none"/>
          <w:lang w:eastAsia="zh-CN"/>
        </w:rPr>
        <w:t>）</w:t>
      </w:r>
      <w:r>
        <w:rPr>
          <w:rFonts w:hint="eastAsia" w:cs="宋体"/>
          <w:b/>
          <w:color w:val="auto"/>
          <w:kern w:val="2"/>
          <w:sz w:val="21"/>
          <w:szCs w:val="21"/>
          <w:highlight w:val="none"/>
        </w:rPr>
        <w:t>→第二轮报价→综合评分→</w:t>
      </w:r>
      <w:r>
        <w:rPr>
          <w:rFonts w:hint="eastAsia" w:cs="宋体"/>
          <w:b/>
          <w:color w:val="auto"/>
          <w:sz w:val="21"/>
          <w:szCs w:val="21"/>
          <w:highlight w:val="none"/>
        </w:rPr>
        <w:t>宣布各</w:t>
      </w:r>
      <w:r>
        <w:rPr>
          <w:rFonts w:hint="eastAsia" w:cs="宋体"/>
          <w:b/>
          <w:color w:val="auto"/>
          <w:sz w:val="21"/>
          <w:szCs w:val="21"/>
          <w:highlight w:val="none"/>
          <w:lang w:eastAsia="zh-CN"/>
        </w:rPr>
        <w:t>谈判</w:t>
      </w:r>
      <w:r>
        <w:rPr>
          <w:rFonts w:hint="eastAsia" w:cs="宋体"/>
          <w:b/>
          <w:color w:val="auto"/>
          <w:sz w:val="21"/>
          <w:szCs w:val="21"/>
          <w:highlight w:val="none"/>
        </w:rPr>
        <w:t>供应商第一轮报价和第二轮报价</w:t>
      </w:r>
      <w:r>
        <w:rPr>
          <w:rFonts w:hint="eastAsia" w:cs="宋体"/>
          <w:b/>
          <w:color w:val="auto"/>
          <w:kern w:val="2"/>
          <w:sz w:val="21"/>
          <w:szCs w:val="21"/>
          <w:highlight w:val="none"/>
        </w:rPr>
        <w:t>→确定</w:t>
      </w:r>
      <w:r>
        <w:rPr>
          <w:rFonts w:hint="eastAsia" w:cs="宋体"/>
          <w:b/>
          <w:color w:val="auto"/>
          <w:sz w:val="21"/>
          <w:szCs w:val="21"/>
          <w:highlight w:val="none"/>
        </w:rPr>
        <w:t>成交备审</w:t>
      </w:r>
      <w:r>
        <w:rPr>
          <w:rFonts w:hint="eastAsia" w:cs="宋体"/>
          <w:b/>
          <w:color w:val="auto"/>
          <w:kern w:val="2"/>
          <w:sz w:val="21"/>
          <w:szCs w:val="21"/>
          <w:highlight w:val="none"/>
        </w:rPr>
        <w:t>供应商→</w:t>
      </w:r>
      <w:r>
        <w:rPr>
          <w:rFonts w:hint="eastAsia" w:cs="宋体"/>
          <w:b/>
          <w:color w:val="auto"/>
          <w:sz w:val="21"/>
          <w:szCs w:val="21"/>
          <w:highlight w:val="none"/>
        </w:rPr>
        <w:t>宣布评审结果</w:t>
      </w:r>
      <w:r>
        <w:rPr>
          <w:rFonts w:hint="eastAsia" w:cs="宋体"/>
          <w:color w:val="auto"/>
          <w:sz w:val="21"/>
          <w:szCs w:val="21"/>
          <w:highlight w:val="none"/>
        </w:rPr>
        <w:t>”</w:t>
      </w:r>
      <w:r>
        <w:rPr>
          <w:rFonts w:hint="eastAsia" w:cs="宋体"/>
          <w:color w:val="auto"/>
          <w:kern w:val="2"/>
          <w:sz w:val="21"/>
          <w:szCs w:val="21"/>
          <w:highlight w:val="none"/>
        </w:rPr>
        <w:t>。</w:t>
      </w:r>
    </w:p>
    <w:p w14:paraId="421C2E48">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hint="eastAsia" w:cs="宋体"/>
          <w:color w:val="auto"/>
          <w:sz w:val="21"/>
          <w:szCs w:val="21"/>
          <w:highlight w:val="none"/>
        </w:rPr>
      </w:pPr>
      <w:r>
        <w:rPr>
          <w:rFonts w:hint="eastAsia" w:cs="宋体"/>
          <w:b/>
          <w:color w:val="auto"/>
          <w:sz w:val="21"/>
          <w:szCs w:val="21"/>
          <w:highlight w:val="none"/>
        </w:rPr>
        <w:t>（一）符合性评审</w:t>
      </w:r>
      <w:r>
        <w:rPr>
          <w:rFonts w:hint="eastAsia" w:cs="宋体"/>
          <w:color w:val="auto"/>
          <w:sz w:val="21"/>
          <w:szCs w:val="21"/>
          <w:highlight w:val="none"/>
        </w:rPr>
        <w:t>。主要包括：</w:t>
      </w:r>
      <w:r>
        <w:rPr>
          <w:rFonts w:hint="eastAsia" w:cs="宋体"/>
          <w:color w:val="auto"/>
          <w:kern w:val="2"/>
          <w:sz w:val="21"/>
          <w:szCs w:val="21"/>
          <w:highlight w:val="none"/>
        </w:rPr>
        <w:t>资格审查、初步评审</w:t>
      </w:r>
      <w:r>
        <w:rPr>
          <w:rFonts w:hint="eastAsia" w:cs="宋体"/>
          <w:color w:val="auto"/>
          <w:kern w:val="2"/>
          <w:sz w:val="21"/>
          <w:szCs w:val="21"/>
          <w:highlight w:val="none"/>
          <w:lang w:eastAsia="zh-CN"/>
        </w:rPr>
        <w:t>、</w:t>
      </w:r>
      <w:r>
        <w:rPr>
          <w:rFonts w:hint="eastAsia" w:cs="宋体"/>
          <w:color w:val="auto"/>
          <w:kern w:val="2"/>
          <w:sz w:val="21"/>
          <w:szCs w:val="21"/>
          <w:highlight w:val="none"/>
          <w:lang w:val="en-US" w:eastAsia="zh-CN"/>
        </w:rPr>
        <w:t>响应性评审</w:t>
      </w:r>
      <w:r>
        <w:rPr>
          <w:rFonts w:hint="eastAsia" w:cs="宋体"/>
          <w:color w:val="auto"/>
          <w:kern w:val="2"/>
          <w:sz w:val="21"/>
          <w:szCs w:val="21"/>
          <w:highlight w:val="none"/>
        </w:rPr>
        <w:t>，详见评审办法前附表。</w:t>
      </w:r>
      <w:r>
        <w:rPr>
          <w:rFonts w:hint="eastAsia" w:cs="宋体"/>
          <w:color w:val="auto"/>
          <w:sz w:val="21"/>
          <w:szCs w:val="21"/>
          <w:highlight w:val="none"/>
        </w:rPr>
        <w:t>符合性评审未通过的按无效处理，不得参与谈判和第二轮报价。</w:t>
      </w:r>
    </w:p>
    <w:p w14:paraId="36CE674B">
      <w:pPr>
        <w:pStyle w:val="17"/>
        <w:keepNext w:val="0"/>
        <w:keepLines w:val="0"/>
        <w:pageBreakBefore w:val="0"/>
        <w:widowControl w:val="0"/>
        <w:kinsoku/>
        <w:wordWrap/>
        <w:overflowPunct/>
        <w:topLinePunct w:val="0"/>
        <w:autoSpaceDE/>
        <w:autoSpaceDN/>
        <w:bidi w:val="0"/>
        <w:adjustRightInd w:val="0"/>
        <w:snapToGrid w:val="0"/>
        <w:spacing w:before="0" w:beforeAutospacing="0" w:after="0" w:afterAutospacing="0" w:line="360" w:lineRule="auto"/>
        <w:ind w:firstLine="422" w:firstLineChars="200"/>
        <w:jc w:val="left"/>
        <w:textAlignment w:val="auto"/>
        <w:rPr>
          <w:rFonts w:hint="eastAsia" w:cs="宋体"/>
          <w:color w:val="auto"/>
          <w:sz w:val="21"/>
          <w:szCs w:val="21"/>
          <w:highlight w:val="none"/>
        </w:rPr>
      </w:pPr>
      <w:r>
        <w:rPr>
          <w:rFonts w:hint="eastAsia" w:cs="宋体"/>
          <w:b/>
          <w:color w:val="auto"/>
          <w:sz w:val="21"/>
          <w:szCs w:val="21"/>
          <w:highlight w:val="none"/>
        </w:rPr>
        <w:t>（二）现场</w:t>
      </w:r>
      <w:r>
        <w:rPr>
          <w:rFonts w:hint="eastAsia" w:cs="宋体"/>
          <w:b/>
          <w:color w:val="auto"/>
          <w:sz w:val="21"/>
          <w:szCs w:val="21"/>
          <w:highlight w:val="none"/>
          <w:lang w:eastAsia="zh-CN"/>
        </w:rPr>
        <w:t>谈判</w:t>
      </w:r>
      <w:r>
        <w:rPr>
          <w:rFonts w:hint="eastAsia" w:cs="宋体"/>
          <w:b/>
          <w:color w:val="auto"/>
          <w:sz w:val="21"/>
          <w:szCs w:val="21"/>
          <w:highlight w:val="none"/>
        </w:rPr>
        <w:t>。</w:t>
      </w:r>
      <w:r>
        <w:rPr>
          <w:rFonts w:hint="eastAsia" w:cs="宋体"/>
          <w:color w:val="auto"/>
          <w:sz w:val="21"/>
          <w:szCs w:val="21"/>
          <w:highlight w:val="none"/>
          <w:lang w:eastAsia="zh-CN"/>
        </w:rPr>
        <w:t>谈判</w:t>
      </w:r>
      <w:r>
        <w:rPr>
          <w:rFonts w:hint="eastAsia" w:cs="宋体"/>
          <w:color w:val="auto"/>
          <w:sz w:val="21"/>
          <w:szCs w:val="21"/>
          <w:highlight w:val="none"/>
        </w:rPr>
        <w:t>小组所有成员集中与通过符合性评审的单一供应商分别进行</w:t>
      </w:r>
      <w:r>
        <w:rPr>
          <w:rFonts w:hint="eastAsia" w:cs="宋体"/>
          <w:color w:val="auto"/>
          <w:sz w:val="21"/>
          <w:szCs w:val="21"/>
          <w:highlight w:val="none"/>
          <w:lang w:eastAsia="zh-CN"/>
        </w:rPr>
        <w:t>谈判</w:t>
      </w:r>
      <w:r>
        <w:rPr>
          <w:rFonts w:hint="eastAsia" w:cs="宋体"/>
          <w:color w:val="auto"/>
          <w:sz w:val="21"/>
          <w:szCs w:val="21"/>
          <w:highlight w:val="none"/>
        </w:rPr>
        <w:t>。各供应商的技术资料、价格和其他信息在</w:t>
      </w:r>
      <w:r>
        <w:rPr>
          <w:rFonts w:hint="eastAsia" w:cs="宋体"/>
          <w:color w:val="auto"/>
          <w:sz w:val="21"/>
          <w:szCs w:val="21"/>
          <w:highlight w:val="none"/>
          <w:lang w:eastAsia="zh-CN"/>
        </w:rPr>
        <w:t>谈判</w:t>
      </w:r>
      <w:r>
        <w:rPr>
          <w:rFonts w:hint="eastAsia" w:cs="宋体"/>
          <w:color w:val="auto"/>
          <w:sz w:val="21"/>
          <w:szCs w:val="21"/>
          <w:highlight w:val="none"/>
        </w:rPr>
        <w:t>时均予以保密。</w:t>
      </w:r>
    </w:p>
    <w:p w14:paraId="1F94839E">
      <w:pPr>
        <w:pStyle w:val="17"/>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cs="宋体"/>
          <w:color w:val="auto"/>
          <w:sz w:val="21"/>
          <w:szCs w:val="21"/>
          <w:highlight w:val="none"/>
        </w:rPr>
      </w:pPr>
      <w:r>
        <w:rPr>
          <w:rFonts w:hint="eastAsia" w:cs="宋体"/>
          <w:color w:val="auto"/>
          <w:sz w:val="21"/>
          <w:szCs w:val="21"/>
          <w:highlight w:val="none"/>
        </w:rPr>
        <w:t>在</w:t>
      </w:r>
      <w:r>
        <w:rPr>
          <w:rFonts w:hint="eastAsia" w:cs="宋体"/>
          <w:color w:val="auto"/>
          <w:sz w:val="21"/>
          <w:szCs w:val="21"/>
          <w:highlight w:val="none"/>
          <w:lang w:eastAsia="zh-CN"/>
        </w:rPr>
        <w:t>谈判</w:t>
      </w:r>
      <w:r>
        <w:rPr>
          <w:rFonts w:hint="eastAsia" w:cs="宋体"/>
          <w:color w:val="auto"/>
          <w:sz w:val="21"/>
          <w:szCs w:val="21"/>
          <w:highlight w:val="none"/>
        </w:rPr>
        <w:t>过程中，</w:t>
      </w:r>
      <w:r>
        <w:rPr>
          <w:rFonts w:hint="eastAsia" w:cs="宋体"/>
          <w:color w:val="auto"/>
          <w:sz w:val="21"/>
          <w:szCs w:val="21"/>
          <w:highlight w:val="none"/>
          <w:lang w:eastAsia="zh-CN"/>
        </w:rPr>
        <w:t>谈判</w:t>
      </w:r>
      <w:r>
        <w:rPr>
          <w:rFonts w:hint="eastAsia" w:cs="宋体"/>
          <w:color w:val="auto"/>
          <w:sz w:val="21"/>
          <w:szCs w:val="21"/>
          <w:highlight w:val="none"/>
        </w:rPr>
        <w:t>小组可以根据</w:t>
      </w:r>
      <w:r>
        <w:rPr>
          <w:rFonts w:hint="eastAsia" w:cs="宋体"/>
          <w:color w:val="auto"/>
          <w:sz w:val="21"/>
          <w:szCs w:val="21"/>
          <w:highlight w:val="none"/>
          <w:lang w:eastAsia="zh-CN"/>
        </w:rPr>
        <w:t>竞争谈判</w:t>
      </w:r>
      <w:r>
        <w:rPr>
          <w:rFonts w:hint="eastAsia" w:cs="宋体"/>
          <w:color w:val="auto"/>
          <w:sz w:val="21"/>
          <w:szCs w:val="21"/>
          <w:highlight w:val="none"/>
        </w:rPr>
        <w:t>文件和</w:t>
      </w:r>
      <w:r>
        <w:rPr>
          <w:rFonts w:hint="eastAsia" w:cs="宋体"/>
          <w:color w:val="auto"/>
          <w:sz w:val="21"/>
          <w:szCs w:val="21"/>
          <w:highlight w:val="none"/>
          <w:lang w:eastAsia="zh-CN"/>
        </w:rPr>
        <w:t>谈判</w:t>
      </w:r>
      <w:r>
        <w:rPr>
          <w:rFonts w:hint="eastAsia" w:cs="宋体"/>
          <w:color w:val="auto"/>
          <w:sz w:val="21"/>
          <w:szCs w:val="21"/>
          <w:highlight w:val="none"/>
        </w:rPr>
        <w:t>情况实质性变动采购需求中的技术、服务要求以及合同草案条款，但不得变动</w:t>
      </w:r>
      <w:r>
        <w:rPr>
          <w:rFonts w:hint="eastAsia" w:cs="宋体"/>
          <w:color w:val="auto"/>
          <w:sz w:val="21"/>
          <w:szCs w:val="21"/>
          <w:highlight w:val="none"/>
          <w:lang w:eastAsia="zh-CN"/>
        </w:rPr>
        <w:t>竞争谈判</w:t>
      </w:r>
      <w:r>
        <w:rPr>
          <w:rFonts w:hint="eastAsia" w:cs="宋体"/>
          <w:color w:val="auto"/>
          <w:sz w:val="21"/>
          <w:szCs w:val="21"/>
          <w:highlight w:val="none"/>
        </w:rPr>
        <w:t>文件中的其他内容。实质性变动的内容，须经采购人代表确认。</w:t>
      </w:r>
    </w:p>
    <w:p w14:paraId="1F57A94F">
      <w:pPr>
        <w:pStyle w:val="17"/>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cs="宋体"/>
          <w:color w:val="auto"/>
          <w:sz w:val="21"/>
          <w:szCs w:val="21"/>
          <w:highlight w:val="none"/>
        </w:rPr>
      </w:pPr>
      <w:r>
        <w:rPr>
          <w:rFonts w:hint="eastAsia" w:cs="宋体"/>
          <w:color w:val="auto"/>
          <w:sz w:val="21"/>
          <w:szCs w:val="21"/>
          <w:highlight w:val="none"/>
        </w:rPr>
        <w:t>对</w:t>
      </w:r>
      <w:r>
        <w:rPr>
          <w:rFonts w:hint="eastAsia" w:cs="宋体"/>
          <w:color w:val="auto"/>
          <w:sz w:val="21"/>
          <w:szCs w:val="21"/>
          <w:highlight w:val="none"/>
          <w:lang w:eastAsia="zh-CN"/>
        </w:rPr>
        <w:t>竞争谈判</w:t>
      </w:r>
      <w:r>
        <w:rPr>
          <w:rFonts w:hint="eastAsia" w:cs="宋体"/>
          <w:color w:val="auto"/>
          <w:sz w:val="21"/>
          <w:szCs w:val="21"/>
          <w:highlight w:val="none"/>
        </w:rPr>
        <w:t>文件作出的实质性变动是</w:t>
      </w:r>
      <w:r>
        <w:rPr>
          <w:rFonts w:hint="eastAsia" w:cs="宋体"/>
          <w:color w:val="auto"/>
          <w:sz w:val="21"/>
          <w:szCs w:val="21"/>
          <w:highlight w:val="none"/>
          <w:lang w:eastAsia="zh-CN"/>
        </w:rPr>
        <w:t>竞争谈判</w:t>
      </w:r>
      <w:r>
        <w:rPr>
          <w:rFonts w:hint="eastAsia" w:cs="宋体"/>
          <w:color w:val="auto"/>
          <w:sz w:val="21"/>
          <w:szCs w:val="21"/>
          <w:highlight w:val="none"/>
        </w:rPr>
        <w:t>文件的有效组成部分，</w:t>
      </w:r>
      <w:r>
        <w:rPr>
          <w:rFonts w:hint="eastAsia" w:cs="宋体"/>
          <w:color w:val="auto"/>
          <w:sz w:val="21"/>
          <w:szCs w:val="21"/>
          <w:highlight w:val="none"/>
          <w:lang w:eastAsia="zh-CN"/>
        </w:rPr>
        <w:t>谈判</w:t>
      </w:r>
      <w:r>
        <w:rPr>
          <w:rFonts w:hint="eastAsia" w:cs="宋体"/>
          <w:color w:val="auto"/>
          <w:sz w:val="21"/>
          <w:szCs w:val="21"/>
          <w:highlight w:val="none"/>
        </w:rPr>
        <w:t>小组应当及时以书面形式同时通知所有参加谈判的供应商。</w:t>
      </w:r>
    </w:p>
    <w:p w14:paraId="12CF5F48">
      <w:pPr>
        <w:pStyle w:val="17"/>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cs="宋体"/>
          <w:color w:val="auto"/>
          <w:sz w:val="21"/>
          <w:szCs w:val="21"/>
          <w:highlight w:val="none"/>
        </w:rPr>
      </w:pPr>
      <w:r>
        <w:rPr>
          <w:rFonts w:hint="eastAsia" w:cs="宋体"/>
          <w:color w:val="auto"/>
          <w:sz w:val="21"/>
          <w:szCs w:val="21"/>
          <w:highlight w:val="none"/>
        </w:rPr>
        <w:t>供应商应当按照</w:t>
      </w:r>
      <w:r>
        <w:rPr>
          <w:rFonts w:hint="eastAsia" w:cs="宋体"/>
          <w:color w:val="auto"/>
          <w:sz w:val="21"/>
          <w:szCs w:val="21"/>
          <w:highlight w:val="none"/>
          <w:lang w:eastAsia="zh-CN"/>
        </w:rPr>
        <w:t>竞争谈判</w:t>
      </w:r>
      <w:r>
        <w:rPr>
          <w:rFonts w:hint="eastAsia" w:cs="宋体"/>
          <w:color w:val="auto"/>
          <w:sz w:val="21"/>
          <w:szCs w:val="21"/>
          <w:highlight w:val="none"/>
        </w:rPr>
        <w:t>文件的变动情况和</w:t>
      </w:r>
      <w:r>
        <w:rPr>
          <w:rFonts w:hint="eastAsia" w:cs="宋体"/>
          <w:color w:val="auto"/>
          <w:sz w:val="21"/>
          <w:szCs w:val="21"/>
          <w:highlight w:val="none"/>
          <w:lang w:eastAsia="zh-CN"/>
        </w:rPr>
        <w:t>谈判</w:t>
      </w:r>
      <w:r>
        <w:rPr>
          <w:rFonts w:hint="eastAsia" w:cs="宋体"/>
          <w:color w:val="auto"/>
          <w:sz w:val="21"/>
          <w:szCs w:val="21"/>
          <w:highlight w:val="none"/>
        </w:rPr>
        <w:t>小组的要求重新提交响应文件，并由其法定代表人或授权代表签字或者加盖公章。由授权代表签字的，应当附法定代表人授权书。供应商为自然人的，应当由本人签字并附身份证明。</w:t>
      </w:r>
    </w:p>
    <w:p w14:paraId="7DB02F03">
      <w:pPr>
        <w:pStyle w:val="17"/>
        <w:keepNext w:val="0"/>
        <w:keepLines w:val="0"/>
        <w:pageBreakBefore w:val="0"/>
        <w:widowControl w:val="0"/>
        <w:shd w:val="clear" w:color="auto" w:fill="FFFFFF"/>
        <w:kinsoku/>
        <w:wordWrap/>
        <w:overflowPunct/>
        <w:topLinePunct w:val="0"/>
        <w:autoSpaceDE/>
        <w:autoSpaceDN/>
        <w:bidi w:val="0"/>
        <w:adjustRightInd w:val="0"/>
        <w:snapToGrid w:val="0"/>
        <w:spacing w:before="0" w:beforeAutospacing="0" w:after="0" w:afterAutospacing="0" w:line="360" w:lineRule="auto"/>
        <w:ind w:firstLine="420" w:firstLineChars="200"/>
        <w:jc w:val="left"/>
        <w:textAlignment w:val="auto"/>
        <w:rPr>
          <w:rFonts w:hint="eastAsia" w:eastAsia="宋体" w:cs="宋体"/>
          <w:color w:val="auto"/>
          <w:sz w:val="21"/>
          <w:szCs w:val="21"/>
          <w:highlight w:val="none"/>
          <w:lang w:eastAsia="zh-CN"/>
        </w:rPr>
      </w:pPr>
      <w:r>
        <w:rPr>
          <w:rFonts w:hint="eastAsia" w:cs="宋体"/>
          <w:color w:val="auto"/>
          <w:sz w:val="21"/>
          <w:szCs w:val="21"/>
          <w:highlight w:val="none"/>
          <w:lang w:eastAsia="zh-CN"/>
        </w:rPr>
        <w:t>谈判</w:t>
      </w:r>
      <w:r>
        <w:rPr>
          <w:rFonts w:hint="eastAsia" w:cs="宋体"/>
          <w:color w:val="auto"/>
          <w:sz w:val="21"/>
          <w:szCs w:val="21"/>
          <w:highlight w:val="none"/>
        </w:rPr>
        <w:t>响应文件能够详细列明采购的技术、服务要求的，谈判结束后，</w:t>
      </w:r>
      <w:r>
        <w:rPr>
          <w:rFonts w:hint="eastAsia" w:cs="宋体"/>
          <w:color w:val="auto"/>
          <w:sz w:val="21"/>
          <w:szCs w:val="21"/>
          <w:highlight w:val="none"/>
          <w:lang w:eastAsia="zh-CN"/>
        </w:rPr>
        <w:t>谈判</w:t>
      </w:r>
      <w:r>
        <w:rPr>
          <w:rFonts w:hint="eastAsia" w:cs="宋体"/>
          <w:color w:val="auto"/>
          <w:sz w:val="21"/>
          <w:szCs w:val="21"/>
          <w:highlight w:val="none"/>
        </w:rPr>
        <w:t>小组应当要求所有继续参加谈判的供应商在规定时间内提交最后报价</w:t>
      </w:r>
      <w:r>
        <w:rPr>
          <w:rFonts w:hint="eastAsia" w:cs="宋体"/>
          <w:color w:val="auto"/>
          <w:sz w:val="21"/>
          <w:szCs w:val="21"/>
          <w:highlight w:val="none"/>
          <w:lang w:eastAsia="zh-CN"/>
        </w:rPr>
        <w:t>。</w:t>
      </w:r>
    </w:p>
    <w:p w14:paraId="7E3D3FE4">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宋体"/>
          <w:color w:val="auto"/>
          <w:szCs w:val="21"/>
          <w:highlight w:val="none"/>
        </w:rPr>
      </w:pPr>
      <w:r>
        <w:rPr>
          <w:rFonts w:hint="eastAsia" w:ascii="宋体" w:hAnsi="宋体" w:cs="宋体"/>
          <w:b/>
          <w:color w:val="auto"/>
          <w:szCs w:val="21"/>
          <w:highlight w:val="none"/>
        </w:rPr>
        <w:t>（三）第二轮报价。</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结束后，</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供应商现场分别填写并提交《</w:t>
      </w:r>
      <w:r>
        <w:rPr>
          <w:rFonts w:hint="eastAsia" w:ascii="宋体" w:hAnsi="宋体" w:cs="宋体"/>
          <w:color w:val="auto"/>
          <w:szCs w:val="21"/>
          <w:highlight w:val="none"/>
          <w:lang w:eastAsia="zh-CN"/>
        </w:rPr>
        <w:t>最终承诺报价表</w:t>
      </w:r>
      <w:r>
        <w:rPr>
          <w:rFonts w:hint="eastAsia" w:ascii="宋体" w:hAnsi="宋体" w:cs="宋体"/>
          <w:color w:val="auto"/>
          <w:szCs w:val="21"/>
          <w:highlight w:val="none"/>
        </w:rPr>
        <w:t>》。</w:t>
      </w:r>
    </w:p>
    <w:p w14:paraId="1C421C2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宋体"/>
          <w:color w:val="auto"/>
          <w:szCs w:val="21"/>
          <w:highlight w:val="none"/>
        </w:rPr>
      </w:pPr>
      <w:r>
        <w:rPr>
          <w:rFonts w:hint="eastAsia" w:ascii="宋体" w:hAnsi="宋体" w:cs="宋体"/>
          <w:b/>
          <w:color w:val="auto"/>
          <w:szCs w:val="21"/>
          <w:highlight w:val="none"/>
        </w:rPr>
        <w:t>（四）综合评分。</w:t>
      </w:r>
      <w:r>
        <w:rPr>
          <w:rFonts w:hint="eastAsia" w:ascii="宋体" w:hAnsi="宋体" w:cs="宋体"/>
          <w:color w:val="auto"/>
          <w:szCs w:val="21"/>
          <w:highlight w:val="none"/>
        </w:rPr>
        <w:t>对照技术标综合评分指标进行综合评分。</w:t>
      </w:r>
    </w:p>
    <w:p w14:paraId="2A92A2A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宋体"/>
          <w:color w:val="auto"/>
          <w:szCs w:val="21"/>
          <w:highlight w:val="none"/>
        </w:rPr>
      </w:pPr>
      <w:r>
        <w:rPr>
          <w:rFonts w:hint="eastAsia" w:ascii="宋体" w:hAnsi="宋体" w:cs="宋体"/>
          <w:b/>
          <w:color w:val="auto"/>
          <w:szCs w:val="21"/>
          <w:highlight w:val="none"/>
        </w:rPr>
        <w:t>（五）宣布各</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供应商第一轮报价和第二轮报价，对最终</w:t>
      </w:r>
      <w:r>
        <w:rPr>
          <w:rFonts w:hint="eastAsia" w:ascii="宋体" w:hAnsi="宋体" w:cs="宋体"/>
          <w:b/>
          <w:color w:val="auto"/>
          <w:szCs w:val="21"/>
          <w:highlight w:val="none"/>
          <w:lang w:eastAsia="zh-CN"/>
        </w:rPr>
        <w:t>谈判</w:t>
      </w:r>
      <w:r>
        <w:rPr>
          <w:rFonts w:hint="eastAsia" w:ascii="宋体" w:hAnsi="宋体" w:cs="宋体"/>
          <w:b/>
          <w:color w:val="auto"/>
          <w:szCs w:val="21"/>
          <w:highlight w:val="none"/>
        </w:rPr>
        <w:t>报价进行评审。</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主持人在</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现场宣读通过符合性评审单位的第一次报价及最终承诺报价。</w:t>
      </w:r>
    </w:p>
    <w:p w14:paraId="011A37F1">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宋体"/>
          <w:snapToGrid w:val="0"/>
          <w:color w:val="auto"/>
          <w:kern w:val="0"/>
          <w:szCs w:val="21"/>
          <w:highlight w:val="none"/>
        </w:rPr>
      </w:pPr>
      <w:r>
        <w:rPr>
          <w:rFonts w:hint="eastAsia" w:ascii="宋体" w:hAnsi="宋体" w:cs="宋体"/>
          <w:b/>
          <w:color w:val="auto"/>
          <w:szCs w:val="21"/>
          <w:highlight w:val="none"/>
        </w:rPr>
        <w:t>（六）确定成交供应商。</w:t>
      </w:r>
      <w:r>
        <w:rPr>
          <w:rFonts w:hint="eastAsia" w:ascii="宋体" w:hAnsi="宋体" w:cs="宋体"/>
          <w:snapToGrid w:val="0"/>
          <w:color w:val="auto"/>
          <w:kern w:val="0"/>
          <w:szCs w:val="21"/>
          <w:highlight w:val="none"/>
          <w:lang w:eastAsia="zh-CN"/>
        </w:rPr>
        <w:t>谈判</w:t>
      </w:r>
      <w:r>
        <w:rPr>
          <w:rFonts w:hint="eastAsia" w:ascii="宋体" w:hAnsi="宋体" w:cs="宋体"/>
          <w:snapToGrid w:val="0"/>
          <w:color w:val="auto"/>
          <w:kern w:val="0"/>
          <w:szCs w:val="21"/>
          <w:highlight w:val="none"/>
        </w:rPr>
        <w:t>小组根据综合评分情况，按照评审得分由高到低顺序推荐</w:t>
      </w:r>
      <w:r>
        <w:rPr>
          <w:rFonts w:hint="eastAsia" w:ascii="宋体" w:hAnsi="宋体" w:cs="宋体"/>
          <w:snapToGrid w:val="0"/>
          <w:color w:val="auto"/>
          <w:kern w:val="0"/>
          <w:szCs w:val="21"/>
          <w:highlight w:val="none"/>
          <w:lang w:val="en-US" w:eastAsia="zh-CN"/>
        </w:rPr>
        <w:t>1-3</w:t>
      </w:r>
      <w:r>
        <w:rPr>
          <w:rFonts w:hint="eastAsia" w:ascii="宋体" w:hAnsi="宋体" w:cs="宋体"/>
          <w:snapToGrid w:val="0"/>
          <w:color w:val="auto"/>
          <w:kern w:val="0"/>
          <w:szCs w:val="21"/>
          <w:highlight w:val="none"/>
        </w:rPr>
        <w:t>名成交候选供应商名单。</w:t>
      </w:r>
    </w:p>
    <w:p w14:paraId="39CC2332">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cs="宋体"/>
          <w:caps/>
          <w:color w:val="auto"/>
          <w:kern w:val="2"/>
          <w:szCs w:val="30"/>
          <w:highlight w:val="none"/>
          <w:lang w:val="zh-CN"/>
        </w:rPr>
      </w:pPr>
      <w:r>
        <w:rPr>
          <w:rFonts w:hint="eastAsia" w:ascii="宋体" w:hAnsi="宋体" w:cs="宋体"/>
          <w:b/>
          <w:color w:val="auto"/>
          <w:szCs w:val="21"/>
          <w:highlight w:val="none"/>
        </w:rPr>
        <w:t>（七）宣布评审结果。</w:t>
      </w:r>
      <w:r>
        <w:rPr>
          <w:rFonts w:hint="eastAsia" w:ascii="宋体" w:hAnsi="宋体" w:cs="宋体"/>
          <w:b w:val="0"/>
          <w:bCs/>
          <w:color w:val="auto"/>
          <w:szCs w:val="21"/>
          <w:highlight w:val="none"/>
          <w:lang w:eastAsia="zh-CN"/>
        </w:rPr>
        <w:t>谈判</w:t>
      </w:r>
      <w:r>
        <w:rPr>
          <w:rFonts w:hint="eastAsia" w:ascii="宋体" w:hAnsi="宋体" w:cs="宋体"/>
          <w:b w:val="0"/>
          <w:bCs/>
          <w:color w:val="auto"/>
          <w:szCs w:val="21"/>
          <w:highlight w:val="none"/>
        </w:rPr>
        <w:t>主</w:t>
      </w:r>
      <w:r>
        <w:rPr>
          <w:rFonts w:hint="eastAsia" w:ascii="宋体" w:hAnsi="宋体" w:cs="宋体"/>
          <w:color w:val="auto"/>
          <w:szCs w:val="21"/>
          <w:highlight w:val="none"/>
        </w:rPr>
        <w:t>持人</w:t>
      </w:r>
      <w:r>
        <w:rPr>
          <w:rFonts w:hint="eastAsia" w:ascii="宋体" w:hAnsi="宋体" w:cs="宋体"/>
          <w:color w:val="auto"/>
          <w:szCs w:val="21"/>
          <w:highlight w:val="none"/>
          <w:lang w:eastAsia="zh-CN"/>
        </w:rPr>
        <w:t>谈判</w:t>
      </w:r>
      <w:r>
        <w:rPr>
          <w:rFonts w:hint="eastAsia" w:ascii="宋体" w:hAnsi="宋体" w:cs="宋体"/>
          <w:color w:val="auto"/>
          <w:szCs w:val="21"/>
          <w:highlight w:val="none"/>
        </w:rPr>
        <w:t>宣布通过符合性评审的供应商和评审结果。</w:t>
      </w:r>
    </w:p>
    <w:p w14:paraId="16A11E04">
      <w:pPr>
        <w:pStyle w:val="3"/>
        <w:adjustRightInd w:val="0"/>
        <w:snapToGrid w:val="0"/>
        <w:spacing w:before="156" w:beforeLines="50" w:after="156" w:afterLines="50" w:line="440" w:lineRule="exact"/>
        <w:jc w:val="center"/>
        <w:rPr>
          <w:rFonts w:hint="eastAsia" w:ascii="宋体" w:hAnsi="宋体" w:cs="宋体"/>
          <w:caps/>
          <w:kern w:val="2"/>
          <w:szCs w:val="30"/>
          <w:highlight w:val="none"/>
          <w:lang w:val="zh-CN"/>
        </w:rPr>
      </w:pPr>
      <w:r>
        <w:rPr>
          <w:rFonts w:hint="eastAsia" w:ascii="宋体" w:hAnsi="宋体" w:cs="宋体"/>
          <w:caps/>
          <w:kern w:val="2"/>
          <w:szCs w:val="30"/>
          <w:highlight w:val="none"/>
          <w:lang w:val="zh-CN"/>
        </w:rPr>
        <w:br w:type="page"/>
      </w:r>
      <w:bookmarkStart w:id="56" w:name="_Toc12999"/>
      <w:bookmarkStart w:id="57" w:name="_Toc29310"/>
      <w:r>
        <w:rPr>
          <w:rFonts w:hint="eastAsia" w:ascii="宋体" w:hAnsi="宋体" w:cs="宋体"/>
          <w:caps/>
          <w:kern w:val="2"/>
          <w:szCs w:val="30"/>
          <w:highlight w:val="none"/>
          <w:lang w:val="zh-CN"/>
        </w:rPr>
        <w:t>第</w:t>
      </w:r>
      <w:r>
        <w:rPr>
          <w:rFonts w:hint="eastAsia" w:ascii="宋体" w:hAnsi="宋体" w:cs="宋体"/>
          <w:caps/>
          <w:kern w:val="2"/>
          <w:szCs w:val="30"/>
          <w:highlight w:val="none"/>
        </w:rPr>
        <w:t>六</w:t>
      </w:r>
      <w:r>
        <w:rPr>
          <w:rFonts w:hint="eastAsia" w:ascii="宋体" w:hAnsi="宋体" w:cs="宋体"/>
          <w:caps/>
          <w:kern w:val="2"/>
          <w:szCs w:val="30"/>
          <w:highlight w:val="none"/>
          <w:lang w:val="zh-CN"/>
        </w:rPr>
        <w:t>章 谈判响应文件格式</w:t>
      </w:r>
      <w:bookmarkEnd w:id="56"/>
      <w:bookmarkEnd w:id="57"/>
    </w:p>
    <w:p w14:paraId="28AF62B8">
      <w:pPr>
        <w:adjustRightInd w:val="0"/>
        <w:snapToGrid w:val="0"/>
        <w:spacing w:line="320" w:lineRule="auto"/>
        <w:jc w:val="center"/>
        <w:rPr>
          <w:rFonts w:hint="eastAsia" w:ascii="宋体" w:hAnsi="宋体" w:cs="宋体"/>
          <w:b/>
          <w:bCs/>
          <w:sz w:val="36"/>
          <w:szCs w:val="36"/>
          <w:highlight w:val="none"/>
          <w:u w:val="single"/>
        </w:rPr>
      </w:pPr>
    </w:p>
    <w:p w14:paraId="136A4E48">
      <w:pPr>
        <w:adjustRightInd w:val="0"/>
        <w:snapToGrid w:val="0"/>
        <w:spacing w:line="320" w:lineRule="auto"/>
        <w:jc w:val="center"/>
        <w:rPr>
          <w:rFonts w:hint="eastAsia" w:ascii="宋体" w:hAnsi="宋体" w:cs="宋体"/>
          <w:b/>
          <w:bCs/>
          <w:sz w:val="36"/>
          <w:szCs w:val="36"/>
          <w:highlight w:val="none"/>
        </w:rPr>
      </w:pPr>
      <w:r>
        <w:rPr>
          <w:rFonts w:hint="eastAsia" w:ascii="宋体" w:hAnsi="宋体" w:cs="宋体"/>
          <w:b/>
          <w:bCs/>
          <w:sz w:val="36"/>
          <w:szCs w:val="36"/>
          <w:highlight w:val="none"/>
          <w:u w:val="single"/>
        </w:rPr>
        <w:t xml:space="preserve">                        </w:t>
      </w:r>
      <w:r>
        <w:rPr>
          <w:rFonts w:hint="eastAsia" w:ascii="宋体" w:hAnsi="宋体" w:cs="宋体"/>
          <w:b/>
          <w:bCs/>
          <w:sz w:val="36"/>
          <w:szCs w:val="36"/>
          <w:highlight w:val="none"/>
        </w:rPr>
        <w:t>项目竞争谈判</w:t>
      </w:r>
    </w:p>
    <w:p w14:paraId="72DAF039">
      <w:pPr>
        <w:adjustRightInd w:val="0"/>
        <w:snapToGrid w:val="0"/>
        <w:spacing w:line="320" w:lineRule="auto"/>
        <w:jc w:val="center"/>
        <w:rPr>
          <w:rFonts w:hint="eastAsia" w:ascii="宋体" w:hAnsi="宋体" w:cs="宋体"/>
          <w:sz w:val="36"/>
          <w:szCs w:val="36"/>
          <w:highlight w:val="none"/>
        </w:rPr>
      </w:pPr>
    </w:p>
    <w:p w14:paraId="4F2F21FA">
      <w:pPr>
        <w:adjustRightInd w:val="0"/>
        <w:snapToGrid w:val="0"/>
        <w:spacing w:line="320" w:lineRule="auto"/>
        <w:jc w:val="center"/>
        <w:rPr>
          <w:rFonts w:hint="eastAsia" w:ascii="宋体" w:hAnsi="宋体" w:cs="宋体"/>
          <w:b/>
          <w:bCs/>
          <w:sz w:val="36"/>
          <w:szCs w:val="36"/>
          <w:highlight w:val="none"/>
        </w:rPr>
      </w:pPr>
    </w:p>
    <w:p w14:paraId="459DBEDB">
      <w:pPr>
        <w:adjustRightInd w:val="0"/>
        <w:snapToGrid w:val="0"/>
        <w:spacing w:line="320" w:lineRule="auto"/>
        <w:jc w:val="center"/>
        <w:rPr>
          <w:rFonts w:hint="eastAsia" w:ascii="宋体" w:hAnsi="宋体" w:cs="宋体"/>
          <w:b/>
          <w:bCs/>
          <w:sz w:val="36"/>
          <w:szCs w:val="36"/>
          <w:highlight w:val="none"/>
        </w:rPr>
      </w:pPr>
      <w:r>
        <w:rPr>
          <w:rFonts w:hint="eastAsia" w:ascii="宋体" w:hAnsi="宋体" w:cs="宋体"/>
          <w:b/>
          <w:bCs/>
          <w:sz w:val="36"/>
          <w:szCs w:val="36"/>
          <w:highlight w:val="none"/>
        </w:rPr>
        <w:t>响</w:t>
      </w:r>
    </w:p>
    <w:p w14:paraId="2941ECB3">
      <w:pPr>
        <w:adjustRightInd w:val="0"/>
        <w:snapToGrid w:val="0"/>
        <w:spacing w:line="320" w:lineRule="auto"/>
        <w:jc w:val="center"/>
        <w:rPr>
          <w:rFonts w:hint="eastAsia" w:ascii="宋体" w:hAnsi="宋体" w:cs="宋体"/>
          <w:b/>
          <w:bCs/>
          <w:sz w:val="36"/>
          <w:szCs w:val="36"/>
          <w:highlight w:val="none"/>
        </w:rPr>
      </w:pPr>
      <w:r>
        <w:rPr>
          <w:rFonts w:hint="eastAsia" w:ascii="宋体" w:hAnsi="宋体" w:cs="宋体"/>
          <w:b/>
          <w:bCs/>
          <w:sz w:val="36"/>
          <w:szCs w:val="36"/>
          <w:highlight w:val="none"/>
        </w:rPr>
        <w:t>应</w:t>
      </w:r>
    </w:p>
    <w:p w14:paraId="117476F3">
      <w:pPr>
        <w:adjustRightInd w:val="0"/>
        <w:snapToGrid w:val="0"/>
        <w:spacing w:line="320" w:lineRule="auto"/>
        <w:jc w:val="center"/>
        <w:rPr>
          <w:rFonts w:hint="eastAsia" w:ascii="宋体" w:hAnsi="宋体" w:cs="宋体"/>
          <w:b/>
          <w:bCs/>
          <w:sz w:val="36"/>
          <w:szCs w:val="36"/>
          <w:highlight w:val="none"/>
        </w:rPr>
      </w:pPr>
      <w:r>
        <w:rPr>
          <w:rFonts w:hint="eastAsia" w:ascii="宋体" w:hAnsi="宋体" w:cs="宋体"/>
          <w:b/>
          <w:bCs/>
          <w:sz w:val="36"/>
          <w:szCs w:val="36"/>
          <w:highlight w:val="none"/>
        </w:rPr>
        <w:t>文</w:t>
      </w:r>
    </w:p>
    <w:p w14:paraId="56D2FC7C">
      <w:pPr>
        <w:adjustRightInd w:val="0"/>
        <w:snapToGrid w:val="0"/>
        <w:spacing w:line="320" w:lineRule="auto"/>
        <w:jc w:val="center"/>
        <w:rPr>
          <w:rFonts w:hint="eastAsia" w:ascii="宋体" w:hAnsi="宋体" w:cs="宋体"/>
          <w:b/>
          <w:bCs/>
          <w:sz w:val="36"/>
          <w:szCs w:val="36"/>
          <w:highlight w:val="none"/>
        </w:rPr>
      </w:pPr>
      <w:r>
        <w:rPr>
          <w:rFonts w:hint="eastAsia" w:ascii="宋体" w:hAnsi="宋体" w:cs="宋体"/>
          <w:b/>
          <w:bCs/>
          <w:sz w:val="36"/>
          <w:szCs w:val="36"/>
          <w:highlight w:val="none"/>
        </w:rPr>
        <w:t>件</w:t>
      </w:r>
    </w:p>
    <w:p w14:paraId="7047F1EA">
      <w:pPr>
        <w:adjustRightInd w:val="0"/>
        <w:snapToGrid w:val="0"/>
        <w:spacing w:line="320" w:lineRule="auto"/>
        <w:ind w:firstLine="3045" w:firstLineChars="1450"/>
        <w:rPr>
          <w:rFonts w:hint="eastAsia" w:ascii="宋体" w:hAnsi="宋体" w:cs="宋体"/>
          <w:szCs w:val="21"/>
          <w:highlight w:val="none"/>
        </w:rPr>
      </w:pPr>
    </w:p>
    <w:p w14:paraId="69E93EE9">
      <w:pPr>
        <w:spacing w:line="500" w:lineRule="exact"/>
        <w:rPr>
          <w:rFonts w:hint="eastAsia" w:ascii="宋体" w:hAnsi="宋体" w:cs="宋体"/>
          <w:sz w:val="28"/>
          <w:szCs w:val="28"/>
          <w:highlight w:val="none"/>
        </w:rPr>
      </w:pPr>
      <w:r>
        <w:rPr>
          <w:rFonts w:hint="eastAsia" w:ascii="宋体" w:hAnsi="宋体" w:cs="宋体"/>
          <w:sz w:val="28"/>
          <w:szCs w:val="28"/>
          <w:highlight w:val="none"/>
        </w:rPr>
        <w:t xml:space="preserve">                     </w:t>
      </w:r>
    </w:p>
    <w:p w14:paraId="0918A370">
      <w:pPr>
        <w:spacing w:line="500" w:lineRule="exact"/>
        <w:jc w:val="center"/>
        <w:rPr>
          <w:rFonts w:hint="eastAsia" w:ascii="宋体" w:hAnsi="宋体" w:cs="宋体"/>
          <w:b/>
          <w:sz w:val="28"/>
          <w:szCs w:val="28"/>
          <w:highlight w:val="none"/>
        </w:rPr>
      </w:pPr>
      <w:r>
        <w:rPr>
          <w:rFonts w:hint="eastAsia" w:ascii="宋体" w:hAnsi="宋体" w:cs="宋体"/>
          <w:b/>
          <w:sz w:val="28"/>
          <w:szCs w:val="28"/>
          <w:highlight w:val="none"/>
        </w:rPr>
        <w:t>项目编号：</w:t>
      </w:r>
    </w:p>
    <w:p w14:paraId="0F17BF36">
      <w:pPr>
        <w:adjustRightInd w:val="0"/>
        <w:snapToGrid w:val="0"/>
        <w:spacing w:line="320" w:lineRule="auto"/>
        <w:jc w:val="center"/>
        <w:rPr>
          <w:rFonts w:hint="eastAsia" w:ascii="宋体" w:hAnsi="宋体" w:cs="宋体"/>
          <w:b/>
          <w:szCs w:val="21"/>
          <w:highlight w:val="none"/>
        </w:rPr>
      </w:pPr>
    </w:p>
    <w:p w14:paraId="165BE784">
      <w:pPr>
        <w:adjustRightInd w:val="0"/>
        <w:snapToGrid w:val="0"/>
        <w:spacing w:line="320" w:lineRule="auto"/>
        <w:ind w:firstLine="1577" w:firstLineChars="600"/>
        <w:rPr>
          <w:rFonts w:hint="eastAsia" w:ascii="宋体" w:hAnsi="宋体" w:cs="宋体"/>
          <w:b/>
          <w:spacing w:val="26"/>
          <w:szCs w:val="21"/>
          <w:highlight w:val="none"/>
        </w:rPr>
      </w:pPr>
    </w:p>
    <w:p w14:paraId="0775D4E4">
      <w:pPr>
        <w:adjustRightInd w:val="0"/>
        <w:snapToGrid w:val="0"/>
        <w:spacing w:line="320" w:lineRule="auto"/>
        <w:rPr>
          <w:rFonts w:hint="eastAsia" w:ascii="宋体" w:hAnsi="宋体" w:cs="宋体"/>
          <w:b/>
          <w:spacing w:val="26"/>
          <w:szCs w:val="21"/>
          <w:highlight w:val="none"/>
        </w:rPr>
      </w:pPr>
    </w:p>
    <w:p w14:paraId="6F56EC89">
      <w:pPr>
        <w:adjustRightInd w:val="0"/>
        <w:snapToGrid w:val="0"/>
        <w:spacing w:line="320" w:lineRule="auto"/>
        <w:ind w:firstLine="1577" w:firstLineChars="600"/>
        <w:rPr>
          <w:rFonts w:hint="eastAsia" w:ascii="宋体" w:hAnsi="宋体" w:cs="宋体"/>
          <w:b/>
          <w:spacing w:val="26"/>
          <w:szCs w:val="21"/>
          <w:highlight w:val="none"/>
        </w:rPr>
      </w:pPr>
    </w:p>
    <w:p w14:paraId="1EAE80FC">
      <w:pPr>
        <w:adjustRightInd w:val="0"/>
        <w:snapToGrid w:val="0"/>
        <w:spacing w:line="320" w:lineRule="auto"/>
        <w:ind w:firstLine="1577" w:firstLineChars="600"/>
        <w:rPr>
          <w:rFonts w:hint="eastAsia" w:ascii="宋体" w:hAnsi="宋体" w:cs="宋体"/>
          <w:b/>
          <w:spacing w:val="26"/>
          <w:szCs w:val="21"/>
          <w:highlight w:val="none"/>
        </w:rPr>
      </w:pPr>
    </w:p>
    <w:p w14:paraId="0674641C">
      <w:pPr>
        <w:spacing w:line="500" w:lineRule="exact"/>
        <w:jc w:val="center"/>
        <w:rPr>
          <w:rFonts w:hint="eastAsia" w:ascii="宋体" w:hAnsi="宋体" w:cs="宋体"/>
          <w:b/>
          <w:sz w:val="28"/>
          <w:szCs w:val="28"/>
          <w:highlight w:val="none"/>
        </w:rPr>
      </w:pPr>
    </w:p>
    <w:p w14:paraId="7F866A2A">
      <w:pPr>
        <w:spacing w:line="500" w:lineRule="exact"/>
        <w:jc w:val="center"/>
        <w:rPr>
          <w:rFonts w:hint="eastAsia" w:ascii="宋体" w:hAnsi="宋体" w:cs="宋体"/>
          <w:b/>
          <w:sz w:val="28"/>
          <w:szCs w:val="28"/>
          <w:highlight w:val="none"/>
        </w:rPr>
      </w:pPr>
    </w:p>
    <w:p w14:paraId="6522EC15">
      <w:pPr>
        <w:spacing w:line="500" w:lineRule="exact"/>
        <w:jc w:val="center"/>
        <w:rPr>
          <w:rFonts w:hint="eastAsia" w:ascii="宋体" w:hAnsi="宋体" w:cs="宋体"/>
          <w:b/>
          <w:sz w:val="28"/>
          <w:szCs w:val="28"/>
          <w:highlight w:val="none"/>
        </w:rPr>
      </w:pPr>
    </w:p>
    <w:p w14:paraId="0F1AF409">
      <w:pPr>
        <w:spacing w:line="500" w:lineRule="exact"/>
        <w:jc w:val="center"/>
        <w:rPr>
          <w:rFonts w:hint="eastAsia" w:ascii="宋体" w:hAnsi="宋体" w:cs="宋体"/>
          <w:b/>
          <w:sz w:val="28"/>
          <w:szCs w:val="28"/>
          <w:highlight w:val="none"/>
        </w:rPr>
      </w:pPr>
      <w:r>
        <w:rPr>
          <w:rFonts w:hint="eastAsia" w:ascii="宋体" w:hAnsi="宋体" w:cs="宋体"/>
          <w:b/>
          <w:sz w:val="28"/>
          <w:szCs w:val="28"/>
          <w:highlight w:val="none"/>
        </w:rPr>
        <w:t>供应商：</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（盖单位章）（正本/副本）</w:t>
      </w:r>
    </w:p>
    <w:p w14:paraId="49A35B92">
      <w:pPr>
        <w:spacing w:line="500" w:lineRule="exact"/>
        <w:jc w:val="center"/>
        <w:rPr>
          <w:rFonts w:hint="eastAsia" w:ascii="宋体" w:hAnsi="宋体" w:cs="宋体"/>
          <w:b/>
          <w:sz w:val="28"/>
          <w:szCs w:val="28"/>
          <w:highlight w:val="none"/>
        </w:rPr>
      </w:pPr>
    </w:p>
    <w:p w14:paraId="2379F9CA">
      <w:pPr>
        <w:spacing w:line="500" w:lineRule="exact"/>
        <w:jc w:val="center"/>
        <w:rPr>
          <w:rFonts w:hint="eastAsia" w:ascii="宋体" w:hAnsi="宋体" w:cs="宋体"/>
          <w:b/>
          <w:sz w:val="28"/>
          <w:szCs w:val="28"/>
          <w:highlight w:val="none"/>
        </w:rPr>
      </w:pPr>
      <w:r>
        <w:rPr>
          <w:rFonts w:hint="eastAsia" w:ascii="宋体" w:hAnsi="宋体" w:cs="宋体"/>
          <w:b/>
          <w:sz w:val="28"/>
          <w:szCs w:val="28"/>
          <w:highlight w:val="none"/>
        </w:rPr>
        <w:t>法定代表人或其委托代理人：</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（签字或盖章）</w:t>
      </w:r>
    </w:p>
    <w:p w14:paraId="4CBF32A4">
      <w:pPr>
        <w:spacing w:line="440" w:lineRule="exact"/>
        <w:rPr>
          <w:rFonts w:hint="eastAsia" w:ascii="宋体" w:hAnsi="宋体" w:cs="宋体"/>
          <w:b/>
          <w:sz w:val="28"/>
          <w:szCs w:val="28"/>
          <w:highlight w:val="none"/>
        </w:rPr>
      </w:pPr>
    </w:p>
    <w:p w14:paraId="651B76B8">
      <w:pPr>
        <w:spacing w:line="440" w:lineRule="exact"/>
        <w:jc w:val="center"/>
        <w:rPr>
          <w:rFonts w:hint="eastAsia" w:ascii="宋体" w:hAnsi="宋体" w:cs="宋体"/>
          <w:b/>
          <w:sz w:val="28"/>
          <w:szCs w:val="28"/>
          <w:highlight w:val="none"/>
        </w:rPr>
      </w:pPr>
    </w:p>
    <w:p w14:paraId="3D1BA2FE">
      <w:pPr>
        <w:spacing w:line="440" w:lineRule="exact"/>
        <w:jc w:val="center"/>
        <w:rPr>
          <w:rFonts w:hint="eastAsia" w:ascii="宋体" w:hAnsi="宋体" w:cs="宋体"/>
          <w:b/>
          <w:kern w:val="10"/>
          <w:sz w:val="32"/>
          <w:szCs w:val="32"/>
          <w:highlight w:val="none"/>
        </w:rPr>
      </w:pP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 xml:space="preserve">年 </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月</w:t>
      </w:r>
      <w:r>
        <w:rPr>
          <w:rFonts w:hint="eastAsia" w:ascii="宋体" w:hAnsi="宋体" w:cs="宋体"/>
          <w:b/>
          <w:sz w:val="28"/>
          <w:szCs w:val="28"/>
          <w:highlight w:val="none"/>
          <w:u w:val="single"/>
        </w:rPr>
        <w:t xml:space="preserve">    </w:t>
      </w:r>
      <w:r>
        <w:rPr>
          <w:rFonts w:hint="eastAsia" w:ascii="宋体" w:hAnsi="宋体" w:cs="宋体"/>
          <w:b/>
          <w:sz w:val="28"/>
          <w:szCs w:val="28"/>
          <w:highlight w:val="none"/>
        </w:rPr>
        <w:t>日</w:t>
      </w:r>
    </w:p>
    <w:p w14:paraId="56882677">
      <w:pPr>
        <w:adjustRightInd w:val="0"/>
        <w:snapToGrid w:val="0"/>
        <w:spacing w:line="320" w:lineRule="auto"/>
        <w:jc w:val="center"/>
        <w:rPr>
          <w:rFonts w:hint="eastAsia" w:ascii="宋体" w:hAnsi="宋体" w:cs="宋体"/>
          <w:b/>
          <w:kern w:val="10"/>
          <w:szCs w:val="21"/>
          <w:highlight w:val="none"/>
        </w:rPr>
      </w:pPr>
    </w:p>
    <w:p w14:paraId="437D1041">
      <w:pPr>
        <w:adjustRightInd w:val="0"/>
        <w:snapToGrid w:val="0"/>
        <w:spacing w:line="320" w:lineRule="auto"/>
        <w:rPr>
          <w:rFonts w:hint="eastAsia" w:ascii="宋体" w:hAnsi="宋体" w:cs="宋体"/>
          <w:b/>
          <w:bCs/>
          <w:szCs w:val="21"/>
          <w:highlight w:val="none"/>
        </w:rPr>
      </w:pPr>
    </w:p>
    <w:p w14:paraId="3A190320">
      <w:pPr>
        <w:pStyle w:val="4"/>
        <w:spacing w:before="0" w:after="0" w:line="440" w:lineRule="exact"/>
        <w:rPr>
          <w:rFonts w:hint="eastAsia" w:ascii="宋体" w:hAnsi="宋体" w:cs="宋体"/>
          <w:szCs w:val="21"/>
          <w:highlight w:val="none"/>
        </w:rPr>
      </w:pPr>
      <w:r>
        <w:rPr>
          <w:rFonts w:hint="eastAsia" w:ascii="宋体" w:hAnsi="宋体" w:cs="宋体"/>
          <w:caps/>
          <w:kern w:val="2"/>
          <w:szCs w:val="30"/>
          <w:highlight w:val="none"/>
          <w:lang w:val="zh-CN"/>
        </w:rPr>
        <w:t>目</w:t>
      </w:r>
      <w:r>
        <w:rPr>
          <w:rFonts w:hint="eastAsia" w:ascii="宋体" w:hAnsi="宋体" w:cs="宋体"/>
          <w:caps/>
          <w:kern w:val="2"/>
          <w:szCs w:val="30"/>
          <w:highlight w:val="none"/>
        </w:rPr>
        <w:t xml:space="preserve">   </w:t>
      </w:r>
      <w:r>
        <w:rPr>
          <w:rFonts w:hint="eastAsia" w:ascii="宋体" w:hAnsi="宋体" w:cs="宋体"/>
          <w:caps/>
          <w:kern w:val="2"/>
          <w:szCs w:val="30"/>
          <w:highlight w:val="none"/>
          <w:lang w:val="zh-CN"/>
        </w:rPr>
        <w:t>录</w:t>
      </w:r>
    </w:p>
    <w:p w14:paraId="4041AD81">
      <w:pPr>
        <w:adjustRightInd w:val="0"/>
        <w:snapToGrid w:val="0"/>
        <w:spacing w:line="320" w:lineRule="auto"/>
        <w:rPr>
          <w:rFonts w:hint="eastAsia" w:ascii="宋体" w:hAnsi="宋体" w:cs="宋体"/>
          <w:szCs w:val="21"/>
          <w:highlight w:val="none"/>
        </w:rPr>
      </w:pPr>
    </w:p>
    <w:p w14:paraId="25E3725E">
      <w:pPr>
        <w:adjustRightInd w:val="0"/>
        <w:snapToGrid w:val="0"/>
        <w:spacing w:line="320" w:lineRule="auto"/>
        <w:ind w:firstLine="1050" w:firstLineChars="500"/>
        <w:rPr>
          <w:rFonts w:hint="eastAsia" w:ascii="宋体" w:hAnsi="宋体" w:cs="宋体"/>
          <w:szCs w:val="21"/>
          <w:highlight w:val="none"/>
        </w:rPr>
      </w:pPr>
      <w:r>
        <w:rPr>
          <w:rFonts w:hint="eastAsia" w:ascii="宋体" w:hAnsi="宋体" w:cs="宋体"/>
          <w:szCs w:val="21"/>
          <w:highlight w:val="none"/>
        </w:rPr>
        <w:t>一、供应商基本情况</w:t>
      </w:r>
    </w:p>
    <w:p w14:paraId="2B287031">
      <w:pPr>
        <w:adjustRightInd w:val="0"/>
        <w:snapToGrid w:val="0"/>
        <w:spacing w:line="320" w:lineRule="auto"/>
        <w:ind w:firstLine="1050" w:firstLineChars="500"/>
        <w:rPr>
          <w:rFonts w:hint="eastAsia" w:ascii="宋体" w:hAnsi="宋体" w:cs="宋体"/>
          <w:szCs w:val="21"/>
          <w:highlight w:val="none"/>
        </w:rPr>
      </w:pPr>
      <w:r>
        <w:rPr>
          <w:rFonts w:hint="eastAsia" w:ascii="宋体" w:hAnsi="宋体" w:cs="宋体"/>
          <w:szCs w:val="21"/>
          <w:highlight w:val="none"/>
        </w:rPr>
        <w:t>二、法定代表人身份证明或附有法定代表人身份证明的授权委托书</w:t>
      </w:r>
    </w:p>
    <w:p w14:paraId="2198912C">
      <w:pPr>
        <w:adjustRightInd w:val="0"/>
        <w:snapToGrid w:val="0"/>
        <w:spacing w:line="320" w:lineRule="auto"/>
        <w:ind w:firstLine="1050" w:firstLineChars="500"/>
        <w:rPr>
          <w:rFonts w:hint="eastAsia"/>
          <w:highlight w:val="none"/>
        </w:rPr>
      </w:pPr>
      <w:r>
        <w:rPr>
          <w:rFonts w:hint="eastAsia" w:ascii="宋体" w:hAnsi="宋体" w:cs="宋体"/>
          <w:szCs w:val="21"/>
          <w:highlight w:val="none"/>
        </w:rPr>
        <w:t>三、投标函</w:t>
      </w:r>
    </w:p>
    <w:p w14:paraId="06E1758F">
      <w:pPr>
        <w:adjustRightInd w:val="0"/>
        <w:snapToGrid w:val="0"/>
        <w:spacing w:line="320" w:lineRule="auto"/>
        <w:ind w:firstLine="1050" w:firstLineChars="500"/>
        <w:rPr>
          <w:rFonts w:ascii="宋体" w:hAnsi="宋体" w:cs="宋体"/>
          <w:szCs w:val="21"/>
          <w:highlight w:val="none"/>
        </w:rPr>
      </w:pPr>
      <w:r>
        <w:rPr>
          <w:rFonts w:hint="eastAsia" w:ascii="宋体" w:hAnsi="宋体" w:cs="宋体"/>
          <w:szCs w:val="21"/>
          <w:highlight w:val="none"/>
        </w:rPr>
        <w:t>四、项目报价书</w:t>
      </w:r>
    </w:p>
    <w:p w14:paraId="021679D0">
      <w:pPr>
        <w:adjustRightInd w:val="0"/>
        <w:snapToGrid w:val="0"/>
        <w:spacing w:line="320" w:lineRule="auto"/>
        <w:ind w:firstLine="1050" w:firstLineChars="500"/>
        <w:rPr>
          <w:rFonts w:hint="eastAsia" w:ascii="宋体" w:hAnsi="宋体" w:cs="宋体"/>
          <w:szCs w:val="21"/>
          <w:highlight w:val="none"/>
          <w:lang w:val="zh-CN"/>
        </w:rPr>
      </w:pPr>
      <w:r>
        <w:rPr>
          <w:rFonts w:hint="eastAsia" w:ascii="宋体" w:hAnsi="宋体" w:cs="宋体"/>
          <w:szCs w:val="21"/>
          <w:highlight w:val="none"/>
        </w:rPr>
        <w:t>五、最终</w:t>
      </w:r>
      <w:r>
        <w:rPr>
          <w:rFonts w:hint="eastAsia" w:ascii="宋体" w:hAnsi="宋体" w:cs="宋体"/>
          <w:szCs w:val="21"/>
          <w:highlight w:val="none"/>
          <w:lang w:val="zh-CN"/>
        </w:rPr>
        <w:t>承诺报价表</w:t>
      </w:r>
    </w:p>
    <w:p w14:paraId="4B408483">
      <w:pPr>
        <w:adjustRightInd w:val="0"/>
        <w:snapToGrid w:val="0"/>
        <w:spacing w:line="320" w:lineRule="auto"/>
        <w:ind w:firstLine="1050" w:firstLineChars="500"/>
        <w:rPr>
          <w:rFonts w:hint="eastAsia" w:ascii="宋体" w:hAnsi="宋体" w:cs="宋体"/>
          <w:szCs w:val="21"/>
          <w:highlight w:val="none"/>
        </w:rPr>
      </w:pPr>
      <w:r>
        <w:rPr>
          <w:rFonts w:hint="eastAsia" w:ascii="宋体" w:hAnsi="宋体" w:cs="宋体"/>
          <w:szCs w:val="21"/>
          <w:highlight w:val="none"/>
        </w:rPr>
        <w:t>六、谈判文件要求提交的其他相关资料</w:t>
      </w:r>
    </w:p>
    <w:p w14:paraId="564FC6BF">
      <w:pPr>
        <w:pStyle w:val="16"/>
        <w:ind w:left="0" w:leftChars="0" w:firstLine="0" w:firstLineChars="0"/>
        <w:outlineLvl w:val="9"/>
        <w:rPr>
          <w:rFonts w:hint="eastAsia"/>
          <w:highlight w:val="none"/>
        </w:rPr>
      </w:pPr>
    </w:p>
    <w:p w14:paraId="3CF2A24C">
      <w:pPr>
        <w:pStyle w:val="4"/>
        <w:numPr>
          <w:ilvl w:val="0"/>
          <w:numId w:val="1"/>
        </w:numPr>
        <w:adjustRightInd w:val="0"/>
        <w:snapToGrid w:val="0"/>
        <w:spacing w:before="156" w:beforeLines="50" w:after="156" w:afterLines="50" w:line="440" w:lineRule="exact"/>
        <w:rPr>
          <w:rFonts w:hint="eastAsia" w:ascii="宋体" w:hAnsi="宋体" w:cs="宋体"/>
          <w:kern w:val="2"/>
          <w:sz w:val="24"/>
          <w:szCs w:val="24"/>
          <w:highlight w:val="none"/>
        </w:rPr>
      </w:pPr>
      <w:r>
        <w:rPr>
          <w:rFonts w:hint="eastAsia" w:ascii="宋体" w:hAnsi="宋体" w:cs="宋体"/>
          <w:kern w:val="2"/>
          <w:sz w:val="24"/>
          <w:szCs w:val="24"/>
          <w:highlight w:val="none"/>
        </w:rPr>
        <w:br w:type="page"/>
      </w:r>
      <w:r>
        <w:rPr>
          <w:rFonts w:hint="eastAsia" w:ascii="宋体" w:hAnsi="宋体" w:cs="宋体"/>
          <w:kern w:val="2"/>
          <w:sz w:val="24"/>
          <w:szCs w:val="24"/>
          <w:highlight w:val="none"/>
        </w:rPr>
        <w:t>供应商基本情况（格式自拟）</w:t>
      </w:r>
      <w:bookmarkStart w:id="58" w:name="_Toc172171561"/>
      <w:bookmarkStart w:id="59" w:name="_Toc516969106"/>
      <w:bookmarkStart w:id="60" w:name="_Toc121626298"/>
    </w:p>
    <w:p w14:paraId="35680B81">
      <w:pPr>
        <w:jc w:val="center"/>
        <w:rPr>
          <w:rFonts w:hint="eastAsia"/>
          <w:highlight w:val="none"/>
        </w:rPr>
      </w:pPr>
      <w:r>
        <w:rPr>
          <w:rFonts w:hint="eastAsia" w:ascii="宋体" w:hAnsi="宋体" w:cs="宋体"/>
          <w:sz w:val="24"/>
          <w:szCs w:val="24"/>
          <w:highlight w:val="none"/>
        </w:rPr>
        <w:t xml:space="preserve">    （营业执照等资格审查复印件）</w:t>
      </w:r>
    </w:p>
    <w:p w14:paraId="1F0F43C2">
      <w:pPr>
        <w:adjustRightInd w:val="0"/>
        <w:snapToGrid w:val="0"/>
        <w:spacing w:before="156" w:beforeLines="50" w:after="156" w:afterLines="50" w:line="440" w:lineRule="exact"/>
        <w:jc w:val="center"/>
        <w:rPr>
          <w:rFonts w:hint="eastAsia" w:ascii="宋体" w:hAnsi="宋体" w:cs="宋体"/>
          <w:sz w:val="24"/>
          <w:szCs w:val="24"/>
          <w:highlight w:val="none"/>
        </w:rPr>
      </w:pPr>
    </w:p>
    <w:p w14:paraId="69960A6D">
      <w:pPr>
        <w:adjustRightInd w:val="0"/>
        <w:snapToGrid w:val="0"/>
        <w:spacing w:before="156" w:beforeLines="50" w:after="156" w:afterLines="50" w:line="440" w:lineRule="exact"/>
        <w:jc w:val="center"/>
        <w:rPr>
          <w:rFonts w:hint="eastAsia" w:ascii="宋体" w:hAnsi="宋体" w:cs="宋体"/>
          <w:sz w:val="24"/>
          <w:szCs w:val="24"/>
          <w:highlight w:val="none"/>
        </w:rPr>
      </w:pPr>
    </w:p>
    <w:p w14:paraId="74CF5A52">
      <w:pPr>
        <w:pStyle w:val="4"/>
        <w:adjustRightInd w:val="0"/>
        <w:snapToGrid w:val="0"/>
        <w:spacing w:before="156" w:beforeLines="50" w:after="156" w:afterLines="50" w:line="440" w:lineRule="exact"/>
        <w:rPr>
          <w:rFonts w:hint="eastAsia" w:ascii="宋体" w:hAnsi="宋体" w:cs="宋体"/>
          <w:kern w:val="2"/>
          <w:sz w:val="24"/>
          <w:szCs w:val="24"/>
          <w:highlight w:val="none"/>
        </w:rPr>
      </w:pPr>
      <w:r>
        <w:rPr>
          <w:rFonts w:hint="eastAsia" w:ascii="宋体" w:hAnsi="宋体" w:cs="宋体"/>
          <w:kern w:val="2"/>
          <w:sz w:val="24"/>
          <w:szCs w:val="24"/>
          <w:highlight w:val="none"/>
        </w:rPr>
        <w:t>二、法定代表人身份证明或附有法定代表人身份证明的授权委托书</w:t>
      </w:r>
    </w:p>
    <w:p w14:paraId="1776916E">
      <w:pPr>
        <w:pStyle w:val="5"/>
        <w:adjustRightInd w:val="0"/>
        <w:snapToGrid w:val="0"/>
        <w:spacing w:before="156" w:beforeLines="50" w:after="156" w:afterLines="50" w:line="440" w:lineRule="exact"/>
        <w:rPr>
          <w:rFonts w:hint="eastAsia" w:hAnsi="宋体"/>
          <w:sz w:val="21"/>
          <w:szCs w:val="21"/>
          <w:highlight w:val="none"/>
        </w:rPr>
      </w:pPr>
      <w:r>
        <w:rPr>
          <w:rFonts w:hint="eastAsia" w:hAnsi="宋体"/>
          <w:sz w:val="24"/>
          <w:szCs w:val="24"/>
          <w:highlight w:val="none"/>
        </w:rPr>
        <w:t>（一）法人授权委托书（原件）</w:t>
      </w:r>
    </w:p>
    <w:p w14:paraId="7E74595A">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本授权书声明：</w:t>
      </w:r>
      <w:r>
        <w:rPr>
          <w:rFonts w:hint="eastAsia" w:ascii="宋体" w:hAnsi="宋体" w:cs="宋体"/>
          <w:szCs w:val="21"/>
          <w:highlight w:val="none"/>
          <w:u w:val="single"/>
        </w:rPr>
        <w:t xml:space="preserve">               </w:t>
      </w:r>
      <w:r>
        <w:rPr>
          <w:rFonts w:hint="eastAsia" w:ascii="宋体" w:hAnsi="宋体" w:cs="宋体"/>
          <w:szCs w:val="21"/>
          <w:highlight w:val="none"/>
        </w:rPr>
        <w:t>公司（工厂）的</w:t>
      </w:r>
      <w:r>
        <w:rPr>
          <w:rFonts w:hint="eastAsia" w:ascii="宋体" w:hAnsi="宋体" w:cs="宋体"/>
          <w:szCs w:val="21"/>
          <w:highlight w:val="none"/>
          <w:u w:val="single"/>
        </w:rPr>
        <w:t xml:space="preserve">           </w:t>
      </w:r>
      <w:r>
        <w:rPr>
          <w:rFonts w:hint="eastAsia" w:ascii="宋体" w:hAnsi="宋体" w:cs="宋体"/>
          <w:szCs w:val="21"/>
          <w:highlight w:val="none"/>
        </w:rPr>
        <w:t>（法人代表姓名、职务）代表本公司（工厂）授权</w:t>
      </w:r>
      <w:r>
        <w:rPr>
          <w:rFonts w:hint="eastAsia" w:ascii="宋体" w:hAnsi="宋体" w:cs="宋体"/>
          <w:szCs w:val="21"/>
          <w:highlight w:val="none"/>
          <w:u w:val="single"/>
        </w:rPr>
        <w:t xml:space="preserve">           </w:t>
      </w:r>
      <w:r>
        <w:rPr>
          <w:rFonts w:hint="eastAsia" w:ascii="宋体" w:hAnsi="宋体" w:cs="宋体"/>
          <w:szCs w:val="21"/>
          <w:highlight w:val="none"/>
        </w:rPr>
        <w:t>（被授权人的姓名、职务）为本公司（工厂）的合法代理人，参加安徽大别山工程咨询有限公司组织的</w:t>
      </w:r>
      <w:r>
        <w:rPr>
          <w:rFonts w:hint="eastAsia" w:ascii="宋体" w:hAnsi="宋体" w:cs="宋体"/>
          <w:b/>
          <w:szCs w:val="21"/>
          <w:highlight w:val="none"/>
          <w:u w:val="single"/>
        </w:rPr>
        <w:t xml:space="preserve">                     </w:t>
      </w:r>
      <w:r>
        <w:rPr>
          <w:rFonts w:hint="eastAsia" w:ascii="宋体" w:hAnsi="宋体" w:cs="宋体"/>
          <w:szCs w:val="21"/>
          <w:highlight w:val="none"/>
        </w:rPr>
        <w:t>项目（招标编号：</w:t>
      </w:r>
      <w:r>
        <w:rPr>
          <w:rFonts w:hint="eastAsia" w:ascii="宋体" w:hAnsi="宋体" w:cs="宋体"/>
          <w:szCs w:val="21"/>
          <w:highlight w:val="none"/>
          <w:u w:val="single"/>
        </w:rPr>
        <w:t xml:space="preserve">               </w:t>
      </w:r>
      <w:r>
        <w:rPr>
          <w:rFonts w:hint="eastAsia" w:ascii="宋体" w:hAnsi="宋体" w:cs="宋体"/>
          <w:szCs w:val="21"/>
          <w:highlight w:val="none"/>
        </w:rPr>
        <w:t>）的谈判、合同签订，以及合同执行等活动，其可以本公司名义处理一切与之有关的事务。</w:t>
      </w:r>
    </w:p>
    <w:p w14:paraId="5065B4B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rPr>
        <w:t>特此声明。</w:t>
      </w:r>
    </w:p>
    <w:p w14:paraId="29666237">
      <w:pPr>
        <w:rPr>
          <w:highlight w:val="none"/>
        </w:rPr>
      </w:pPr>
    </w:p>
    <w:p w14:paraId="6DDE8B0E">
      <w:pPr>
        <w:adjustRightInd w:val="0"/>
        <w:snapToGrid w:val="0"/>
        <w:spacing w:line="400" w:lineRule="exact"/>
        <w:ind w:firstLine="645"/>
        <w:rPr>
          <w:rFonts w:hint="default" w:ascii="宋体" w:hAnsi="宋体" w:eastAsia="宋体" w:cs="宋体"/>
          <w:szCs w:val="21"/>
          <w:highlight w:val="none"/>
          <w:u w:val="single"/>
          <w:lang w:val="en-US" w:eastAsia="zh-CN"/>
        </w:rPr>
      </w:pPr>
      <w:r>
        <w:rPr>
          <w:rFonts w:hint="eastAsia" w:ascii="宋体" w:hAnsi="宋体" w:cs="宋体"/>
          <w:szCs w:val="21"/>
          <w:highlight w:val="none"/>
        </w:rPr>
        <w:t>法人代表（谈判供应商负责人）签字：</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0F22BB28">
      <w:pPr>
        <w:adjustRightInd w:val="0"/>
        <w:snapToGrid w:val="0"/>
        <w:spacing w:line="400" w:lineRule="exact"/>
        <w:ind w:firstLine="645"/>
        <w:rPr>
          <w:rFonts w:hint="default" w:ascii="宋体" w:hAnsi="宋体" w:eastAsia="宋体" w:cs="宋体"/>
          <w:szCs w:val="21"/>
          <w:highlight w:val="none"/>
          <w:u w:val="single"/>
          <w:lang w:val="en-US" w:eastAsia="zh-CN"/>
        </w:rPr>
      </w:pPr>
      <w:r>
        <w:rPr>
          <w:rFonts w:hint="eastAsia" w:ascii="宋体" w:hAnsi="宋体" w:cs="宋体"/>
          <w:szCs w:val="21"/>
          <w:highlight w:val="none"/>
        </w:rPr>
        <w:t>职        务：</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36B25202">
      <w:pPr>
        <w:adjustRightInd w:val="0"/>
        <w:snapToGrid w:val="0"/>
        <w:spacing w:line="400" w:lineRule="exact"/>
        <w:ind w:firstLine="645"/>
        <w:rPr>
          <w:rFonts w:hint="default" w:ascii="宋体" w:hAnsi="宋体" w:eastAsia="宋体" w:cs="宋体"/>
          <w:szCs w:val="21"/>
          <w:highlight w:val="none"/>
          <w:lang w:val="en-US" w:eastAsia="zh-CN"/>
        </w:rPr>
      </w:pPr>
      <w:r>
        <w:rPr>
          <w:rFonts w:hint="eastAsia" w:ascii="宋体" w:hAnsi="宋体" w:cs="宋体"/>
          <w:szCs w:val="21"/>
          <w:highlight w:val="none"/>
        </w:rPr>
        <w:t>代理人（被授权人）签字：</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04DDB0AC">
      <w:pPr>
        <w:adjustRightInd w:val="0"/>
        <w:snapToGrid w:val="0"/>
        <w:spacing w:line="400" w:lineRule="exact"/>
        <w:ind w:firstLine="645"/>
        <w:rPr>
          <w:rFonts w:hint="default" w:ascii="宋体" w:hAnsi="宋体" w:eastAsia="宋体" w:cs="宋体"/>
          <w:szCs w:val="21"/>
          <w:highlight w:val="none"/>
          <w:lang w:val="en-US" w:eastAsia="zh-CN"/>
        </w:rPr>
      </w:pPr>
      <w:r>
        <w:rPr>
          <w:rFonts w:hint="eastAsia" w:ascii="宋体" w:hAnsi="宋体" w:cs="宋体"/>
          <w:szCs w:val="21"/>
          <w:highlight w:val="none"/>
        </w:rPr>
        <w:t>职       务：</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4A6BB7C6">
      <w:pPr>
        <w:adjustRightInd w:val="0"/>
        <w:snapToGrid w:val="0"/>
        <w:spacing w:line="400" w:lineRule="exact"/>
        <w:ind w:firstLine="645"/>
        <w:rPr>
          <w:rFonts w:hint="default" w:ascii="宋体" w:hAnsi="宋体" w:eastAsia="宋体" w:cs="宋体"/>
          <w:szCs w:val="21"/>
          <w:highlight w:val="none"/>
          <w:lang w:val="en-US" w:eastAsia="zh-CN"/>
        </w:rPr>
      </w:pPr>
      <w:r>
        <w:rPr>
          <w:rFonts w:hint="eastAsia" w:ascii="宋体" w:hAnsi="宋体" w:cs="宋体"/>
          <w:szCs w:val="21"/>
          <w:highlight w:val="none"/>
        </w:rPr>
        <w:t>供应商名称(加盖公章)：</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4B339172">
      <w:pPr>
        <w:adjustRightInd w:val="0"/>
        <w:snapToGrid w:val="0"/>
        <w:spacing w:line="400" w:lineRule="exact"/>
        <w:ind w:firstLine="645"/>
        <w:rPr>
          <w:rFonts w:hint="default" w:ascii="宋体" w:hAnsi="宋体" w:eastAsia="宋体" w:cs="宋体"/>
          <w:szCs w:val="21"/>
          <w:highlight w:val="none"/>
          <w:lang w:val="en-US" w:eastAsia="zh-CN"/>
        </w:rPr>
      </w:pPr>
      <w:r>
        <w:rPr>
          <w:rFonts w:hint="eastAsia" w:ascii="宋体" w:hAnsi="宋体" w:cs="宋体"/>
          <w:szCs w:val="21"/>
          <w:highlight w:val="none"/>
        </w:rPr>
        <w:t>地       址：</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1E158DF7">
      <w:pPr>
        <w:adjustRightInd w:val="0"/>
        <w:snapToGrid w:val="0"/>
        <w:spacing w:line="400" w:lineRule="exact"/>
        <w:ind w:firstLine="645"/>
        <w:rPr>
          <w:rFonts w:hint="default" w:ascii="宋体" w:hAnsi="宋体" w:eastAsia="宋体" w:cs="宋体"/>
          <w:szCs w:val="21"/>
          <w:highlight w:val="none"/>
          <w:u w:val="single"/>
          <w:lang w:val="en-US" w:eastAsia="zh-CN"/>
        </w:rPr>
      </w:pPr>
      <w:r>
        <w:rPr>
          <w:rFonts w:hint="eastAsia" w:ascii="宋体" w:hAnsi="宋体" w:cs="宋体"/>
          <w:szCs w:val="21"/>
          <w:highlight w:val="none"/>
        </w:rPr>
        <w:t>日       期：</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68315BF8">
      <w:pPr>
        <w:spacing w:line="440" w:lineRule="exact"/>
        <w:ind w:firstLine="645"/>
        <w:rPr>
          <w:rFonts w:hint="eastAsia" w:ascii="宋体" w:hAnsi="宋体" w:cs="宋体"/>
          <w:sz w:val="24"/>
          <w:szCs w:val="24"/>
          <w:highlight w:val="none"/>
          <w:u w:val="single"/>
        </w:rPr>
      </w:pPr>
    </w:p>
    <w:p w14:paraId="7B4F7952">
      <w:pPr>
        <w:pStyle w:val="19"/>
        <w:ind w:firstLine="640"/>
        <w:rPr>
          <w:rFonts w:hint="eastAsia"/>
          <w:highlight w:val="none"/>
        </w:rPr>
      </w:pPr>
    </w:p>
    <w:p w14:paraId="32334EBC">
      <w:pPr>
        <w:pStyle w:val="5"/>
        <w:adjustRightInd w:val="0"/>
        <w:snapToGrid w:val="0"/>
        <w:spacing w:before="156" w:beforeLines="50" w:after="156" w:afterLines="50" w:line="440" w:lineRule="exact"/>
        <w:rPr>
          <w:rFonts w:hint="eastAsia" w:hAnsi="宋体"/>
          <w:sz w:val="24"/>
          <w:szCs w:val="24"/>
          <w:highlight w:val="none"/>
        </w:rPr>
      </w:pPr>
      <w:r>
        <w:rPr>
          <w:rFonts w:hint="eastAsia" w:hAnsi="宋体"/>
          <w:sz w:val="24"/>
          <w:szCs w:val="24"/>
          <w:highlight w:val="none"/>
        </w:rPr>
        <w:t>（二）法人和委托代理人有效居民身份证正反面（复印件）</w:t>
      </w:r>
    </w:p>
    <w:p w14:paraId="4918FB38">
      <w:pPr>
        <w:pStyle w:val="4"/>
        <w:adjustRightInd w:val="0"/>
        <w:snapToGrid w:val="0"/>
        <w:spacing w:before="156" w:beforeLines="50" w:after="156" w:afterLines="50" w:line="440" w:lineRule="exact"/>
        <w:ind w:left="0" w:leftChars="0" w:firstLine="0" w:firstLineChars="0"/>
        <w:jc w:val="center"/>
        <w:rPr>
          <w:rFonts w:hint="eastAsia" w:ascii="宋体" w:hAnsi="宋体" w:cs="宋体"/>
          <w:kern w:val="2"/>
          <w:sz w:val="24"/>
          <w:szCs w:val="24"/>
          <w:highlight w:val="none"/>
        </w:rPr>
      </w:pPr>
      <w:r>
        <w:rPr>
          <w:rFonts w:hint="eastAsia" w:ascii="宋体" w:hAnsi="宋体" w:cs="宋体"/>
          <w:kern w:val="2"/>
          <w:sz w:val="24"/>
          <w:szCs w:val="24"/>
          <w:highlight w:val="none"/>
          <w:lang w:val="en-US" w:eastAsia="zh-CN"/>
        </w:rPr>
        <w:br w:type="page"/>
      </w:r>
      <w:r>
        <w:rPr>
          <w:rFonts w:hint="eastAsia" w:ascii="宋体" w:hAnsi="宋体" w:cs="宋体"/>
          <w:kern w:val="2"/>
          <w:sz w:val="24"/>
          <w:szCs w:val="24"/>
          <w:highlight w:val="none"/>
          <w:lang w:val="en-US" w:eastAsia="zh-CN"/>
        </w:rPr>
        <w:t>三</w:t>
      </w:r>
      <w:r>
        <w:rPr>
          <w:rFonts w:hint="eastAsia" w:ascii="宋体" w:hAnsi="宋体" w:cs="宋体"/>
          <w:kern w:val="2"/>
          <w:sz w:val="24"/>
          <w:szCs w:val="24"/>
          <w:highlight w:val="none"/>
        </w:rPr>
        <w:t>、</w:t>
      </w:r>
      <w:r>
        <w:rPr>
          <w:rFonts w:hint="eastAsia" w:ascii="宋体" w:hAnsi="宋体" w:cs="宋体"/>
          <w:kern w:val="2"/>
          <w:sz w:val="24"/>
          <w:szCs w:val="24"/>
          <w:highlight w:val="none"/>
          <w:lang w:eastAsia="zh-CN"/>
        </w:rPr>
        <w:t>投标</w:t>
      </w:r>
      <w:r>
        <w:rPr>
          <w:rFonts w:hint="eastAsia" w:ascii="宋体" w:hAnsi="宋体" w:cs="宋体"/>
          <w:kern w:val="2"/>
          <w:sz w:val="24"/>
          <w:szCs w:val="24"/>
          <w:highlight w:val="none"/>
        </w:rPr>
        <w:t>函</w:t>
      </w:r>
    </w:p>
    <w:p w14:paraId="5CCC1D17">
      <w:pPr>
        <w:adjustRightInd w:val="0"/>
        <w:snapToGrid w:val="0"/>
        <w:spacing w:line="320" w:lineRule="auto"/>
        <w:jc w:val="center"/>
        <w:rPr>
          <w:rFonts w:hint="eastAsia" w:ascii="宋体" w:hAnsi="宋体" w:cs="宋体"/>
          <w:b/>
          <w:szCs w:val="21"/>
          <w:highlight w:val="none"/>
        </w:rPr>
      </w:pPr>
    </w:p>
    <w:p w14:paraId="3CD60D2A">
      <w:pPr>
        <w:adjustRightInd w:val="0"/>
        <w:snapToGrid w:val="0"/>
        <w:spacing w:line="400" w:lineRule="exact"/>
        <w:rPr>
          <w:rFonts w:hint="eastAsia" w:ascii="宋体" w:hAnsi="宋体" w:cs="宋体"/>
          <w:szCs w:val="21"/>
          <w:highlight w:val="none"/>
        </w:rPr>
      </w:pP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采购人全称</w:t>
      </w:r>
      <w:r>
        <w:rPr>
          <w:rFonts w:hint="eastAsia" w:ascii="宋体" w:hAnsi="宋体" w:cs="宋体"/>
          <w:szCs w:val="21"/>
          <w:highlight w:val="none"/>
          <w:u w:val="single"/>
          <w:lang w:eastAsia="zh-CN"/>
        </w:rPr>
        <w:t>）</w:t>
      </w:r>
      <w:r>
        <w:rPr>
          <w:rFonts w:hint="eastAsia" w:ascii="宋体" w:hAnsi="宋体" w:cs="宋体"/>
          <w:szCs w:val="21"/>
          <w:highlight w:val="none"/>
        </w:rPr>
        <w:t>：</w:t>
      </w:r>
    </w:p>
    <w:p w14:paraId="03828E00">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cs="宋体"/>
          <w:szCs w:val="21"/>
          <w:highlight w:val="none"/>
        </w:rPr>
      </w:pPr>
      <w:r>
        <w:rPr>
          <w:rFonts w:hint="eastAsia" w:ascii="宋体" w:hAnsi="宋体" w:cs="宋体"/>
          <w:szCs w:val="21"/>
          <w:highlight w:val="none"/>
          <w:u w:val="single"/>
        </w:rPr>
        <w:t>（谈判供应商全称）</w:t>
      </w:r>
      <w:r>
        <w:rPr>
          <w:rFonts w:hint="eastAsia" w:ascii="宋体" w:hAnsi="宋体" w:cs="宋体"/>
          <w:szCs w:val="21"/>
          <w:highlight w:val="none"/>
        </w:rPr>
        <w:t>授权</w:t>
      </w:r>
      <w:r>
        <w:rPr>
          <w:rFonts w:hint="eastAsia" w:ascii="宋体" w:hAnsi="宋体" w:cs="宋体"/>
          <w:szCs w:val="21"/>
          <w:highlight w:val="none"/>
          <w:u w:val="single"/>
        </w:rPr>
        <w:t>（全权代表名称</w:t>
      </w:r>
      <w:r>
        <w:rPr>
          <w:rFonts w:hint="eastAsia" w:ascii="宋体" w:hAnsi="宋体" w:cs="宋体"/>
          <w:szCs w:val="21"/>
          <w:highlight w:val="none"/>
          <w:u w:val="single"/>
          <w:lang w:eastAsia="zh-CN"/>
        </w:rPr>
        <w:t>、</w:t>
      </w:r>
      <w:r>
        <w:rPr>
          <w:rFonts w:hint="eastAsia" w:ascii="宋体" w:hAnsi="宋体" w:cs="宋体"/>
          <w:szCs w:val="21"/>
          <w:highlight w:val="none"/>
          <w:u w:val="single"/>
        </w:rPr>
        <w:t>职务</w:t>
      </w:r>
      <w:r>
        <w:rPr>
          <w:rFonts w:hint="eastAsia" w:ascii="宋体" w:hAnsi="宋体" w:cs="宋体"/>
          <w:szCs w:val="21"/>
          <w:highlight w:val="none"/>
          <w:u w:val="single"/>
          <w:lang w:eastAsia="zh-CN"/>
        </w:rPr>
        <w:t>）</w:t>
      </w:r>
      <w:r>
        <w:rPr>
          <w:rFonts w:hint="eastAsia" w:ascii="宋体" w:hAnsi="宋体" w:cs="宋体"/>
          <w:szCs w:val="21"/>
          <w:highlight w:val="none"/>
        </w:rPr>
        <w:t>为全权代表，参加贵方组织的</w:t>
      </w:r>
      <w:r>
        <w:rPr>
          <w:rFonts w:hint="eastAsia" w:ascii="宋体" w:hAnsi="宋体" w:cs="宋体"/>
          <w:szCs w:val="21"/>
          <w:highlight w:val="none"/>
          <w:u w:val="single"/>
          <w:lang w:eastAsia="zh-CN"/>
        </w:rPr>
        <w:t>（</w:t>
      </w:r>
      <w:r>
        <w:rPr>
          <w:rFonts w:hint="eastAsia" w:ascii="宋体" w:hAnsi="宋体" w:cs="宋体"/>
          <w:szCs w:val="21"/>
          <w:highlight w:val="none"/>
          <w:u w:val="single"/>
          <w:lang w:val="en-US" w:eastAsia="zh-CN"/>
        </w:rPr>
        <w:t>项目名称</w:t>
      </w:r>
      <w:r>
        <w:rPr>
          <w:rFonts w:hint="eastAsia" w:ascii="宋体" w:hAnsi="宋体" w:cs="宋体"/>
          <w:szCs w:val="21"/>
          <w:highlight w:val="none"/>
          <w:u w:val="single"/>
          <w:lang w:eastAsia="zh-CN"/>
        </w:rPr>
        <w:t>）</w:t>
      </w:r>
      <w:r>
        <w:rPr>
          <w:rFonts w:hint="eastAsia" w:ascii="宋体" w:hAnsi="宋体" w:cs="宋体"/>
          <w:szCs w:val="21"/>
          <w:highlight w:val="none"/>
        </w:rPr>
        <w:t>项目（</w:t>
      </w:r>
      <w:r>
        <w:rPr>
          <w:rFonts w:hint="eastAsia" w:ascii="宋体" w:hAnsi="宋体" w:cs="宋体"/>
          <w:szCs w:val="21"/>
          <w:highlight w:val="none"/>
          <w:lang w:val="en-US" w:eastAsia="zh-CN"/>
        </w:rPr>
        <w:t>项目</w:t>
      </w:r>
      <w:r>
        <w:rPr>
          <w:rFonts w:hint="eastAsia" w:ascii="宋体" w:hAnsi="宋体" w:cs="宋体"/>
          <w:szCs w:val="21"/>
          <w:highlight w:val="none"/>
        </w:rPr>
        <w:t>编号</w:t>
      </w:r>
      <w:r>
        <w:rPr>
          <w:rFonts w:hint="eastAsia" w:ascii="宋体" w:hAnsi="宋体" w:cs="宋体"/>
          <w:szCs w:val="21"/>
          <w:highlight w:val="none"/>
          <w:lang w:eastAsia="zh-CN"/>
        </w:rPr>
        <w:t>：</w:t>
      </w:r>
      <w:r>
        <w:rPr>
          <w:rFonts w:hint="eastAsia" w:ascii="宋体" w:hAnsi="宋体" w:cs="宋体"/>
          <w:szCs w:val="21"/>
          <w:highlight w:val="none"/>
          <w:u w:val="single"/>
          <w:lang w:val="en-US" w:eastAsia="zh-CN"/>
        </w:rPr>
        <w:t xml:space="preserve">        </w:t>
      </w:r>
      <w:r>
        <w:rPr>
          <w:rFonts w:hint="eastAsia" w:ascii="宋体" w:hAnsi="宋体" w:cs="宋体"/>
          <w:szCs w:val="21"/>
          <w:highlight w:val="none"/>
        </w:rPr>
        <w:t>）的有关谈判活动。为此：</w:t>
      </w:r>
    </w:p>
    <w:p w14:paraId="59F70F85">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Cs w:val="21"/>
          <w:highlight w:val="none"/>
          <w:lang w:eastAsia="zh-CN"/>
        </w:rPr>
      </w:pPr>
      <w:r>
        <w:rPr>
          <w:rFonts w:hint="eastAsia" w:ascii="宋体" w:hAnsi="宋体" w:cs="宋体"/>
          <w:szCs w:val="21"/>
          <w:highlight w:val="none"/>
        </w:rPr>
        <w:t>一、提供谈判须知规定的全部谈判响应文件</w:t>
      </w:r>
      <w:r>
        <w:rPr>
          <w:rFonts w:hint="eastAsia" w:ascii="宋体" w:hAnsi="宋体" w:cs="宋体"/>
          <w:szCs w:val="21"/>
          <w:highlight w:val="none"/>
          <w:lang w:eastAsia="zh-CN"/>
        </w:rPr>
        <w:t>：</w:t>
      </w:r>
    </w:p>
    <w:p w14:paraId="5A4A4551">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Cs w:val="21"/>
          <w:highlight w:val="none"/>
          <w:lang w:eastAsia="zh-CN"/>
        </w:rPr>
      </w:pPr>
      <w:r>
        <w:rPr>
          <w:rFonts w:hint="eastAsia" w:ascii="宋体" w:hAnsi="宋体" w:cs="宋体"/>
          <w:szCs w:val="21"/>
          <w:highlight w:val="none"/>
        </w:rPr>
        <w:t>一式叁份，其中正本一份，副本贰份；具体要求按照竞争谈判文件规定</w:t>
      </w:r>
      <w:r>
        <w:rPr>
          <w:rFonts w:hint="eastAsia" w:ascii="宋体" w:hAnsi="宋体" w:cs="宋体"/>
          <w:szCs w:val="21"/>
          <w:highlight w:val="none"/>
          <w:lang w:eastAsia="zh-CN"/>
        </w:rPr>
        <w:t>。</w:t>
      </w:r>
    </w:p>
    <w:p w14:paraId="4085FB8F">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szCs w:val="21"/>
          <w:highlight w:val="none"/>
          <w:lang w:eastAsia="zh-CN"/>
        </w:rPr>
      </w:pPr>
      <w:r>
        <w:rPr>
          <w:rFonts w:hint="eastAsia" w:ascii="宋体" w:hAnsi="宋体" w:cs="宋体"/>
          <w:szCs w:val="21"/>
          <w:highlight w:val="none"/>
        </w:rPr>
        <w:t>二、响应</w:t>
      </w:r>
      <w:r>
        <w:rPr>
          <w:rFonts w:hint="eastAsia" w:ascii="宋体" w:hAnsi="宋体" w:cs="宋体"/>
          <w:szCs w:val="21"/>
          <w:highlight w:val="none"/>
          <w:lang w:val="en-US" w:eastAsia="zh-CN"/>
        </w:rPr>
        <w:t>本项目</w:t>
      </w:r>
      <w:r>
        <w:rPr>
          <w:rFonts w:hint="eastAsia" w:ascii="宋体" w:hAnsi="宋体" w:cs="宋体"/>
          <w:szCs w:val="21"/>
          <w:highlight w:val="none"/>
        </w:rPr>
        <w:t>最高限价</w:t>
      </w:r>
      <w:r>
        <w:rPr>
          <w:rFonts w:hint="eastAsia" w:ascii="宋体" w:hAnsi="宋体" w:cs="宋体"/>
          <w:szCs w:val="21"/>
          <w:highlight w:val="none"/>
          <w:lang w:eastAsia="zh-CN"/>
        </w:rPr>
        <w:t>。</w:t>
      </w:r>
    </w:p>
    <w:p w14:paraId="4A5B1122">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default" w:ascii="宋体" w:hAnsi="宋体" w:eastAsia="宋体" w:cs="宋体"/>
          <w:szCs w:val="21"/>
          <w:highlight w:val="none"/>
          <w:u w:val="single"/>
          <w:lang w:val="en-US" w:eastAsia="zh-CN"/>
        </w:rPr>
      </w:pPr>
      <w:r>
        <w:rPr>
          <w:rFonts w:hint="eastAsia" w:ascii="宋体" w:hAnsi="宋体" w:cs="宋体"/>
          <w:szCs w:val="21"/>
          <w:highlight w:val="none"/>
        </w:rPr>
        <w:t>三、完成本项目服务期限：</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none"/>
          <w:lang w:val="en-US" w:eastAsia="zh-CN"/>
        </w:rPr>
        <w:t>。</w:t>
      </w:r>
    </w:p>
    <w:p w14:paraId="6FDE3597">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四、保证遵守竞争谈判文件中的有关规定。</w:t>
      </w:r>
    </w:p>
    <w:p w14:paraId="1A535F0F">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1、保证忠实地执行双方所签的经济合同，并承担合同规定的责任义务。</w:t>
      </w:r>
    </w:p>
    <w:p w14:paraId="754CD2EE">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2、愿意向贵方提供任何与该项谈判有关的数据、情况和技术资料。</w:t>
      </w:r>
    </w:p>
    <w:p w14:paraId="195CC177">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3、本谈判自开标之日起</w:t>
      </w:r>
      <w:r>
        <w:rPr>
          <w:rFonts w:hint="eastAsia" w:ascii="宋体" w:hAnsi="宋体" w:cs="宋体"/>
          <w:szCs w:val="21"/>
          <w:highlight w:val="none"/>
          <w:u w:val="single"/>
        </w:rPr>
        <w:t>60</w:t>
      </w:r>
      <w:r>
        <w:rPr>
          <w:rFonts w:hint="eastAsia" w:ascii="宋体" w:hAnsi="宋体" w:cs="宋体"/>
          <w:szCs w:val="21"/>
          <w:highlight w:val="none"/>
        </w:rPr>
        <w:t>天内有效。</w:t>
      </w:r>
    </w:p>
    <w:p w14:paraId="5029492D">
      <w:pPr>
        <w:adjustRightInd w:val="0"/>
        <w:snapToGrid w:val="0"/>
        <w:spacing w:line="400" w:lineRule="exact"/>
        <w:ind w:firstLine="420" w:firstLineChars="200"/>
        <w:rPr>
          <w:rFonts w:hint="eastAsia" w:ascii="宋体" w:hAnsi="宋体" w:cs="宋体"/>
          <w:szCs w:val="21"/>
          <w:highlight w:val="none"/>
        </w:rPr>
      </w:pPr>
      <w:r>
        <w:rPr>
          <w:rFonts w:hint="eastAsia" w:ascii="宋体" w:hAnsi="宋体" w:cs="宋体"/>
          <w:szCs w:val="21"/>
          <w:highlight w:val="none"/>
        </w:rPr>
        <w:t>4、与本谈判有关的一切往来通讯请寄：</w:t>
      </w:r>
    </w:p>
    <w:p w14:paraId="7A85DC5E">
      <w:pPr>
        <w:adjustRightInd w:val="0"/>
        <w:snapToGrid w:val="0"/>
        <w:spacing w:line="400" w:lineRule="exact"/>
        <w:rPr>
          <w:rFonts w:hint="eastAsia" w:ascii="宋体" w:hAnsi="宋体" w:cs="宋体"/>
          <w:szCs w:val="21"/>
          <w:highlight w:val="none"/>
        </w:rPr>
      </w:pPr>
    </w:p>
    <w:p w14:paraId="3914D596">
      <w:pPr>
        <w:adjustRightInd w:val="0"/>
        <w:snapToGrid w:val="0"/>
        <w:spacing w:line="400" w:lineRule="exact"/>
        <w:rPr>
          <w:rFonts w:hint="default" w:ascii="宋体" w:hAnsi="宋体" w:eastAsia="宋体" w:cs="宋体"/>
          <w:szCs w:val="21"/>
          <w:highlight w:val="none"/>
          <w:lang w:val="en-US" w:eastAsia="zh-CN"/>
        </w:rPr>
      </w:pPr>
      <w:r>
        <w:rPr>
          <w:rFonts w:hint="eastAsia" w:ascii="宋体" w:hAnsi="宋体" w:cs="宋体"/>
          <w:szCs w:val="21"/>
          <w:highlight w:val="none"/>
        </w:rPr>
        <w:t>地址：</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6147D21A">
      <w:pPr>
        <w:adjustRightInd w:val="0"/>
        <w:snapToGrid w:val="0"/>
        <w:spacing w:line="400" w:lineRule="exact"/>
        <w:rPr>
          <w:rFonts w:hint="eastAsia" w:ascii="宋体" w:hAnsi="宋体" w:cs="宋体"/>
          <w:szCs w:val="21"/>
          <w:highlight w:val="none"/>
          <w:u w:val="single"/>
        </w:rPr>
      </w:pPr>
    </w:p>
    <w:p w14:paraId="54842CBD">
      <w:pPr>
        <w:adjustRightInd w:val="0"/>
        <w:snapToGrid w:val="0"/>
        <w:spacing w:line="400" w:lineRule="exact"/>
        <w:rPr>
          <w:rFonts w:hint="default" w:ascii="宋体" w:hAnsi="宋体" w:eastAsia="宋体" w:cs="宋体"/>
          <w:szCs w:val="21"/>
          <w:highlight w:val="none"/>
          <w:lang w:val="en-US" w:eastAsia="zh-CN"/>
        </w:rPr>
      </w:pPr>
      <w:r>
        <w:rPr>
          <w:rFonts w:hint="eastAsia" w:ascii="宋体" w:hAnsi="宋体" w:cs="宋体"/>
          <w:szCs w:val="21"/>
          <w:highlight w:val="none"/>
        </w:rPr>
        <w:t>邮编：</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rPr>
        <w:t>电话：</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rPr>
        <w:t>传真：</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p w14:paraId="5BFC2692">
      <w:pPr>
        <w:adjustRightInd w:val="0"/>
        <w:snapToGrid w:val="0"/>
        <w:spacing w:line="400" w:lineRule="exact"/>
        <w:rPr>
          <w:rFonts w:hint="eastAsia" w:ascii="宋体" w:hAnsi="宋体" w:cs="宋体"/>
          <w:szCs w:val="21"/>
          <w:highlight w:val="none"/>
        </w:rPr>
      </w:pPr>
    </w:p>
    <w:p w14:paraId="0E66484A">
      <w:pPr>
        <w:keepNext w:val="0"/>
        <w:keepLines w:val="0"/>
        <w:pageBreakBefore w:val="0"/>
        <w:widowControl w:val="0"/>
        <w:kinsoku/>
        <w:wordWrap/>
        <w:overflowPunct/>
        <w:topLinePunct w:val="0"/>
        <w:autoSpaceDE/>
        <w:autoSpaceDN/>
        <w:bidi w:val="0"/>
        <w:adjustRightInd w:val="0"/>
        <w:snapToGrid w:val="0"/>
        <w:spacing w:line="400" w:lineRule="exact"/>
        <w:ind w:firstLine="3780" w:firstLineChars="1800"/>
        <w:textAlignment w:val="auto"/>
        <w:rPr>
          <w:rFonts w:hint="eastAsia" w:ascii="宋体" w:hAnsi="宋体" w:cs="宋体"/>
          <w:szCs w:val="21"/>
          <w:highlight w:val="none"/>
        </w:rPr>
      </w:pPr>
    </w:p>
    <w:p w14:paraId="13BCEC22">
      <w:pPr>
        <w:keepNext w:val="0"/>
        <w:keepLines w:val="0"/>
        <w:pageBreakBefore w:val="0"/>
        <w:widowControl w:val="0"/>
        <w:kinsoku/>
        <w:wordWrap/>
        <w:overflowPunct/>
        <w:topLinePunct w:val="0"/>
        <w:autoSpaceDE/>
        <w:autoSpaceDN/>
        <w:bidi w:val="0"/>
        <w:adjustRightInd w:val="0"/>
        <w:snapToGrid w:val="0"/>
        <w:spacing w:line="400" w:lineRule="exact"/>
        <w:ind w:firstLine="4620" w:firstLineChars="2200"/>
        <w:textAlignment w:val="auto"/>
        <w:rPr>
          <w:rFonts w:hint="eastAsia" w:ascii="宋体" w:hAnsi="宋体" w:cs="宋体"/>
          <w:szCs w:val="21"/>
          <w:highlight w:val="none"/>
        </w:rPr>
      </w:pPr>
      <w:r>
        <w:rPr>
          <w:rFonts w:hint="eastAsia" w:ascii="宋体" w:hAnsi="宋体" w:cs="宋体"/>
          <w:szCs w:val="21"/>
          <w:highlight w:val="none"/>
        </w:rPr>
        <w:t>谈判供应商（盖章）：</w:t>
      </w:r>
    </w:p>
    <w:p w14:paraId="45958CC7">
      <w:pPr>
        <w:keepNext w:val="0"/>
        <w:keepLines w:val="0"/>
        <w:pageBreakBefore w:val="0"/>
        <w:widowControl w:val="0"/>
        <w:kinsoku/>
        <w:wordWrap/>
        <w:overflowPunct/>
        <w:topLinePunct w:val="0"/>
        <w:autoSpaceDE/>
        <w:autoSpaceDN/>
        <w:bidi w:val="0"/>
        <w:adjustRightInd w:val="0"/>
        <w:snapToGrid w:val="0"/>
        <w:spacing w:line="400" w:lineRule="exact"/>
        <w:ind w:firstLine="4620" w:firstLineChars="2200"/>
        <w:textAlignment w:val="auto"/>
        <w:rPr>
          <w:rFonts w:hint="eastAsia" w:ascii="宋体" w:hAnsi="宋体" w:cs="宋体"/>
          <w:szCs w:val="21"/>
          <w:highlight w:val="none"/>
        </w:rPr>
      </w:pPr>
      <w:r>
        <w:rPr>
          <w:rFonts w:hint="eastAsia" w:ascii="宋体" w:hAnsi="宋体" w:cs="宋体"/>
          <w:szCs w:val="21"/>
          <w:highlight w:val="none"/>
        </w:rPr>
        <w:t>法定代表人或授权委托人（签字）：</w:t>
      </w:r>
    </w:p>
    <w:p w14:paraId="248DD067">
      <w:pPr>
        <w:keepNext w:val="0"/>
        <w:keepLines w:val="0"/>
        <w:pageBreakBefore w:val="0"/>
        <w:widowControl w:val="0"/>
        <w:kinsoku/>
        <w:wordWrap/>
        <w:overflowPunct/>
        <w:topLinePunct w:val="0"/>
        <w:autoSpaceDE/>
        <w:autoSpaceDN/>
        <w:bidi w:val="0"/>
        <w:adjustRightInd w:val="0"/>
        <w:snapToGrid w:val="0"/>
        <w:spacing w:line="400" w:lineRule="exact"/>
        <w:ind w:firstLine="4620" w:firstLineChars="2200"/>
        <w:textAlignment w:val="auto"/>
        <w:rPr>
          <w:rFonts w:hint="eastAsia" w:ascii="宋体" w:hAnsi="宋体" w:eastAsia="宋体" w:cs="宋体"/>
          <w:szCs w:val="21"/>
          <w:highlight w:val="none"/>
          <w:lang w:eastAsia="zh-CN"/>
        </w:rPr>
      </w:pPr>
      <w:r>
        <w:rPr>
          <w:rFonts w:hint="eastAsia" w:ascii="宋体" w:hAnsi="宋体" w:cs="宋体"/>
          <w:szCs w:val="21"/>
          <w:highlight w:val="none"/>
        </w:rPr>
        <w:t>日期</w:t>
      </w:r>
      <w:r>
        <w:rPr>
          <w:rFonts w:hint="eastAsia" w:ascii="宋体" w:hAnsi="宋体" w:cs="宋体"/>
          <w:szCs w:val="21"/>
          <w:highlight w:val="none"/>
          <w:lang w:eastAsia="zh-CN"/>
        </w:rPr>
        <w:t>：</w:t>
      </w:r>
    </w:p>
    <w:p w14:paraId="6EA267D0">
      <w:pPr>
        <w:pStyle w:val="4"/>
        <w:spacing w:before="0" w:after="0" w:line="440" w:lineRule="exact"/>
        <w:ind w:firstLine="0"/>
        <w:rPr>
          <w:rFonts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br w:type="page"/>
      </w:r>
      <w:r>
        <w:rPr>
          <w:rFonts w:hint="eastAsia" w:ascii="宋体" w:hAnsi="宋体" w:eastAsia="宋体" w:cs="宋体"/>
          <w:color w:val="000000"/>
          <w:sz w:val="24"/>
          <w:szCs w:val="24"/>
          <w:highlight w:val="none"/>
          <w:lang w:val="en-US" w:eastAsia="zh-CN"/>
        </w:rPr>
        <w:t>四</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项目报价书</w:t>
      </w:r>
    </w:p>
    <w:p w14:paraId="3236BCDD">
      <w:pPr>
        <w:spacing w:line="440" w:lineRule="exact"/>
        <w:jc w:val="center"/>
        <w:rPr>
          <w:rFonts w:hint="eastAsia" w:ascii="宋体" w:hAnsi="宋体" w:cs="宋体"/>
          <w:color w:val="000000"/>
          <w:highlight w:val="none"/>
        </w:rPr>
      </w:pP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8"/>
        <w:gridCol w:w="7220"/>
      </w:tblGrid>
      <w:tr w14:paraId="6C7DB7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6C68179E">
            <w:pPr>
              <w:widowControl/>
              <w:spacing w:line="440" w:lineRule="exact"/>
              <w:ind w:firstLine="422" w:firstLineChars="200"/>
              <w:rPr>
                <w:rFonts w:hint="eastAsia" w:ascii="宋体" w:hAnsi="宋体" w:cs="宋体"/>
                <w:b/>
                <w:bCs/>
                <w:color w:val="000000"/>
                <w:highlight w:val="none"/>
              </w:rPr>
            </w:pPr>
            <w:r>
              <w:rPr>
                <w:rFonts w:hint="eastAsia" w:ascii="宋体" w:hAnsi="宋体" w:cs="宋体"/>
                <w:b/>
                <w:bCs/>
                <w:color w:val="000000"/>
                <w:highlight w:val="none"/>
              </w:rPr>
              <w:t>项目名称</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15A4717A">
            <w:pPr>
              <w:widowControl/>
              <w:spacing w:line="440" w:lineRule="exact"/>
              <w:jc w:val="left"/>
              <w:rPr>
                <w:rFonts w:hint="eastAsia" w:ascii="宋体" w:hAnsi="宋体" w:cs="宋体"/>
                <w:color w:val="000000"/>
                <w:highlight w:val="none"/>
                <w:u w:val="single"/>
              </w:rPr>
            </w:pPr>
          </w:p>
        </w:tc>
      </w:tr>
      <w:tr w14:paraId="21006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918" w:type="dxa"/>
            <w:tcBorders>
              <w:top w:val="nil"/>
              <w:left w:val="single" w:color="auto" w:sz="4" w:space="0"/>
              <w:bottom w:val="single" w:color="auto" w:sz="4" w:space="0"/>
              <w:right w:val="single" w:color="auto" w:sz="4" w:space="0"/>
            </w:tcBorders>
            <w:noWrap w:val="0"/>
            <w:vAlign w:val="center"/>
          </w:tcPr>
          <w:p w14:paraId="44096617">
            <w:pPr>
              <w:widowControl/>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项目编号</w:t>
            </w:r>
          </w:p>
        </w:tc>
        <w:tc>
          <w:tcPr>
            <w:tcW w:w="7220" w:type="dxa"/>
            <w:tcBorders>
              <w:top w:val="nil"/>
              <w:left w:val="single" w:color="auto" w:sz="4" w:space="0"/>
              <w:bottom w:val="single" w:color="auto" w:sz="4" w:space="0"/>
              <w:right w:val="single" w:color="auto" w:sz="4" w:space="0"/>
            </w:tcBorders>
            <w:noWrap w:val="0"/>
            <w:vAlign w:val="center"/>
          </w:tcPr>
          <w:p w14:paraId="443D3295">
            <w:pPr>
              <w:widowControl/>
              <w:spacing w:line="440" w:lineRule="exact"/>
              <w:jc w:val="left"/>
              <w:rPr>
                <w:rFonts w:hint="eastAsia" w:ascii="宋体" w:hAnsi="宋体" w:cs="宋体"/>
                <w:color w:val="000000"/>
                <w:highlight w:val="none"/>
              </w:rPr>
            </w:pPr>
          </w:p>
        </w:tc>
      </w:tr>
      <w:tr w14:paraId="2DCA0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3" w:hRule="atLeast"/>
          <w:jc w:val="center"/>
        </w:trPr>
        <w:tc>
          <w:tcPr>
            <w:tcW w:w="1918" w:type="dxa"/>
            <w:tcBorders>
              <w:top w:val="nil"/>
              <w:left w:val="single" w:color="auto" w:sz="4" w:space="0"/>
              <w:bottom w:val="single" w:color="auto" w:sz="4" w:space="0"/>
              <w:right w:val="single" w:color="auto" w:sz="4" w:space="0"/>
            </w:tcBorders>
            <w:noWrap w:val="0"/>
            <w:vAlign w:val="center"/>
          </w:tcPr>
          <w:p w14:paraId="7E7BA58C">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lang w:eastAsia="zh-CN"/>
              </w:rPr>
              <w:t>供应商</w:t>
            </w:r>
            <w:r>
              <w:rPr>
                <w:rFonts w:hint="eastAsia" w:ascii="宋体" w:hAnsi="宋体" w:cs="宋体"/>
                <w:b/>
                <w:bCs/>
                <w:color w:val="000000"/>
                <w:highlight w:val="none"/>
              </w:rPr>
              <w:t>全称</w:t>
            </w:r>
          </w:p>
        </w:tc>
        <w:tc>
          <w:tcPr>
            <w:tcW w:w="7220" w:type="dxa"/>
            <w:tcBorders>
              <w:top w:val="nil"/>
              <w:left w:val="single" w:color="auto" w:sz="4" w:space="0"/>
              <w:bottom w:val="single" w:color="auto" w:sz="4" w:space="0"/>
              <w:right w:val="single" w:color="auto" w:sz="4" w:space="0"/>
            </w:tcBorders>
            <w:noWrap w:val="0"/>
            <w:vAlign w:val="center"/>
          </w:tcPr>
          <w:p w14:paraId="485CD0DF">
            <w:pPr>
              <w:spacing w:line="440" w:lineRule="exact"/>
              <w:rPr>
                <w:rFonts w:hint="eastAsia" w:ascii="宋体" w:hAnsi="宋体" w:cs="宋体"/>
                <w:color w:val="000000"/>
                <w:highlight w:val="none"/>
              </w:rPr>
            </w:pPr>
          </w:p>
        </w:tc>
      </w:tr>
      <w:tr w14:paraId="62915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4F55FF0">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项目服务期限</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0412B901">
            <w:pPr>
              <w:widowControl/>
              <w:adjustRightInd w:val="0"/>
              <w:snapToGrid w:val="0"/>
              <w:spacing w:line="320" w:lineRule="auto"/>
              <w:ind w:firstLine="3000" w:firstLineChars="1250"/>
              <w:rPr>
                <w:rFonts w:ascii="宋体" w:hAnsi="宋体" w:cs="宋体"/>
                <w:bCs/>
                <w:sz w:val="24"/>
                <w:szCs w:val="24"/>
                <w:highlight w:val="none"/>
              </w:rPr>
            </w:pPr>
            <w:r>
              <w:rPr>
                <w:rFonts w:hint="eastAsia" w:ascii="宋体" w:hAnsi="宋体" w:cs="宋体"/>
                <w:bCs/>
                <w:sz w:val="24"/>
                <w:szCs w:val="24"/>
                <w:highlight w:val="none"/>
              </w:rPr>
              <w:t>响应招标文件</w:t>
            </w:r>
          </w:p>
        </w:tc>
      </w:tr>
      <w:tr w14:paraId="3C73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6"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31535607">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付款方式</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6FE67F57">
            <w:pPr>
              <w:widowControl/>
              <w:adjustRightInd w:val="0"/>
              <w:snapToGrid w:val="0"/>
              <w:spacing w:line="320" w:lineRule="auto"/>
              <w:ind w:firstLine="360" w:firstLineChars="150"/>
              <w:jc w:val="center"/>
              <w:rPr>
                <w:rFonts w:hint="eastAsia" w:ascii="宋体" w:hAnsi="宋体" w:cs="宋体"/>
                <w:bCs/>
                <w:sz w:val="24"/>
                <w:szCs w:val="24"/>
                <w:highlight w:val="none"/>
              </w:rPr>
            </w:pPr>
            <w:r>
              <w:rPr>
                <w:rFonts w:hint="eastAsia" w:ascii="宋体" w:hAnsi="宋体" w:cs="宋体"/>
                <w:bCs/>
                <w:sz w:val="24"/>
                <w:szCs w:val="24"/>
                <w:highlight w:val="none"/>
              </w:rPr>
              <w:t>响应招标文件</w:t>
            </w:r>
          </w:p>
        </w:tc>
      </w:tr>
      <w:tr w14:paraId="202E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8"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135A7956">
            <w:pPr>
              <w:spacing w:line="440" w:lineRule="exact"/>
              <w:jc w:val="center"/>
              <w:rPr>
                <w:rFonts w:hint="eastAsia" w:ascii="宋体" w:hAnsi="宋体" w:cs="宋体"/>
                <w:b/>
                <w:bCs/>
                <w:color w:val="000000"/>
                <w:highlight w:val="none"/>
              </w:rPr>
            </w:pPr>
            <w:r>
              <w:rPr>
                <w:rFonts w:hint="eastAsia" w:ascii="宋体" w:hAnsi="宋体" w:cs="宋体"/>
                <w:b/>
                <w:bCs/>
                <w:color w:val="000000"/>
                <w:highlight w:val="none"/>
              </w:rPr>
              <w:t>投标报价</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19DEBAFB">
            <w:pPr>
              <w:widowControl/>
              <w:adjustRightInd w:val="0"/>
              <w:snapToGrid w:val="0"/>
              <w:spacing w:line="320" w:lineRule="auto"/>
              <w:ind w:firstLine="361" w:firstLineChars="150"/>
              <w:rPr>
                <w:rFonts w:hint="default" w:ascii="宋体" w:hAnsi="宋体" w:cs="宋体"/>
                <w:b/>
                <w:sz w:val="24"/>
                <w:szCs w:val="24"/>
                <w:highlight w:val="none"/>
                <w:u w:val="single"/>
                <w:lang w:val="en-US"/>
              </w:rPr>
            </w:pPr>
            <w:r>
              <w:rPr>
                <w:rFonts w:hint="eastAsia" w:ascii="宋体" w:hAnsi="宋体" w:cs="宋体"/>
                <w:b/>
                <w:sz w:val="24"/>
                <w:szCs w:val="24"/>
                <w:highlight w:val="none"/>
                <w:lang w:val="en-US" w:eastAsia="zh-CN"/>
              </w:rPr>
              <w:t>小写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 xml:space="preserve">   元</w:t>
            </w:r>
          </w:p>
          <w:p w14:paraId="6EAB0D4C">
            <w:pPr>
              <w:widowControl/>
              <w:adjustRightInd w:val="0"/>
              <w:snapToGrid w:val="0"/>
              <w:spacing w:line="320" w:lineRule="auto"/>
              <w:ind w:firstLine="361" w:firstLineChars="150"/>
              <w:rPr>
                <w:rFonts w:hint="eastAsia" w:ascii="宋体" w:hAnsi="宋体" w:cs="宋体"/>
                <w:b/>
                <w:sz w:val="24"/>
                <w:szCs w:val="24"/>
                <w:highlight w:val="none"/>
                <w:u w:val="single"/>
              </w:rPr>
            </w:pPr>
          </w:p>
          <w:p w14:paraId="3E2B632B">
            <w:pPr>
              <w:widowControl/>
              <w:adjustRightInd w:val="0"/>
              <w:snapToGrid w:val="0"/>
              <w:spacing w:line="320" w:lineRule="auto"/>
              <w:ind w:firstLine="361" w:firstLineChars="150"/>
              <w:rPr>
                <w:rFonts w:ascii="宋体" w:hAnsi="宋体" w:cs="宋体"/>
                <w:bCs/>
                <w:sz w:val="24"/>
                <w:szCs w:val="24"/>
                <w:highlight w:val="none"/>
              </w:rPr>
            </w:pPr>
            <w:r>
              <w:rPr>
                <w:rFonts w:hint="eastAsia" w:ascii="宋体" w:hAnsi="宋体" w:cs="宋体"/>
                <w:b/>
                <w:sz w:val="24"/>
                <w:szCs w:val="24"/>
                <w:highlight w:val="none"/>
                <w:lang w:val="en-US" w:eastAsia="zh-CN"/>
              </w:rPr>
              <w:t>大写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tc>
      </w:tr>
      <w:tr w14:paraId="30CC4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1918" w:type="dxa"/>
            <w:tcBorders>
              <w:top w:val="single" w:color="auto" w:sz="4" w:space="0"/>
              <w:left w:val="single" w:color="auto" w:sz="4" w:space="0"/>
              <w:bottom w:val="single" w:color="auto" w:sz="4" w:space="0"/>
              <w:right w:val="single" w:color="auto" w:sz="4" w:space="0"/>
            </w:tcBorders>
            <w:noWrap w:val="0"/>
            <w:vAlign w:val="center"/>
          </w:tcPr>
          <w:p w14:paraId="12D2C09E">
            <w:pPr>
              <w:spacing w:line="440" w:lineRule="exact"/>
              <w:jc w:val="center"/>
              <w:rPr>
                <w:rFonts w:ascii="宋体" w:hAnsi="宋体" w:cs="宋体"/>
                <w:b/>
                <w:bCs/>
                <w:color w:val="000000"/>
                <w:highlight w:val="none"/>
              </w:rPr>
            </w:pPr>
            <w:r>
              <w:rPr>
                <w:rFonts w:hint="eastAsia" w:ascii="宋体" w:hAnsi="宋体" w:cs="宋体"/>
                <w:b/>
                <w:bCs/>
                <w:color w:val="000000"/>
                <w:highlight w:val="none"/>
              </w:rPr>
              <w:t>备注</w:t>
            </w:r>
          </w:p>
        </w:tc>
        <w:tc>
          <w:tcPr>
            <w:tcW w:w="7220" w:type="dxa"/>
            <w:tcBorders>
              <w:top w:val="single" w:color="auto" w:sz="4" w:space="0"/>
              <w:left w:val="single" w:color="auto" w:sz="4" w:space="0"/>
              <w:bottom w:val="single" w:color="auto" w:sz="4" w:space="0"/>
              <w:right w:val="single" w:color="auto" w:sz="4" w:space="0"/>
            </w:tcBorders>
            <w:noWrap w:val="0"/>
            <w:vAlign w:val="center"/>
          </w:tcPr>
          <w:p w14:paraId="24D7C7CE">
            <w:pPr>
              <w:widowControl/>
              <w:spacing w:line="440" w:lineRule="exact"/>
              <w:jc w:val="left"/>
              <w:rPr>
                <w:rFonts w:hint="eastAsia" w:ascii="宋体" w:hAnsi="宋体" w:cs="宋体"/>
                <w:b/>
                <w:color w:val="000000"/>
                <w:highlight w:val="none"/>
              </w:rPr>
            </w:pPr>
          </w:p>
        </w:tc>
      </w:tr>
    </w:tbl>
    <w:p w14:paraId="42D5074E">
      <w:pPr>
        <w:spacing w:line="360" w:lineRule="auto"/>
        <w:rPr>
          <w:rFonts w:hint="eastAsia" w:ascii="宋体" w:hAnsi="宋体" w:cs="宋体"/>
          <w:color w:val="000000"/>
          <w:szCs w:val="21"/>
          <w:highlight w:val="none"/>
        </w:rPr>
      </w:pPr>
    </w:p>
    <w:p w14:paraId="4235DDB9">
      <w:pPr>
        <w:spacing w:line="360" w:lineRule="auto"/>
        <w:rPr>
          <w:rFonts w:hint="eastAsia" w:ascii="宋体" w:hAnsi="宋体" w:cs="宋体"/>
          <w:color w:val="000000"/>
          <w:szCs w:val="21"/>
          <w:highlight w:val="none"/>
        </w:rPr>
      </w:pPr>
    </w:p>
    <w:p w14:paraId="39763F80">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供应商盖章：</w:t>
      </w:r>
    </w:p>
    <w:p w14:paraId="3402E0D8">
      <w:pPr>
        <w:spacing w:line="360" w:lineRule="auto"/>
        <w:rPr>
          <w:rFonts w:hint="eastAsia" w:ascii="宋体" w:hAnsi="宋体" w:cs="宋体"/>
          <w:color w:val="000000"/>
          <w:szCs w:val="21"/>
          <w:highlight w:val="none"/>
        </w:rPr>
      </w:pPr>
      <w:r>
        <w:rPr>
          <w:rFonts w:hint="eastAsia" w:ascii="宋体" w:hAnsi="宋体" w:cs="宋体"/>
          <w:color w:val="000000"/>
          <w:szCs w:val="21"/>
          <w:highlight w:val="none"/>
        </w:rPr>
        <w:t>日期：</w:t>
      </w:r>
    </w:p>
    <w:p w14:paraId="724F57C7">
      <w:pPr>
        <w:spacing w:line="360" w:lineRule="auto"/>
        <w:rPr>
          <w:rFonts w:hint="eastAsia" w:ascii="宋体" w:hAnsi="宋体" w:cs="宋体"/>
          <w:color w:val="000000"/>
          <w:szCs w:val="21"/>
          <w:highlight w:val="none"/>
        </w:rPr>
      </w:pPr>
    </w:p>
    <w:p w14:paraId="637A5A73">
      <w:pPr>
        <w:spacing w:line="360" w:lineRule="auto"/>
        <w:rPr>
          <w:rFonts w:hint="eastAsia" w:ascii="宋体" w:hAnsi="宋体" w:cs="宋体"/>
          <w:sz w:val="24"/>
          <w:szCs w:val="24"/>
          <w:highlight w:val="none"/>
        </w:rPr>
      </w:pPr>
    </w:p>
    <w:p w14:paraId="7A04DF13">
      <w:pPr>
        <w:pStyle w:val="2"/>
        <w:spacing w:line="440" w:lineRule="exact"/>
        <w:jc w:val="right"/>
        <w:rPr>
          <w:rFonts w:hint="eastAsia" w:ascii="宋体" w:hAnsi="宋体" w:eastAsia="宋体" w:cs="宋体"/>
          <w:color w:val="000000"/>
          <w:sz w:val="21"/>
          <w:highlight w:val="none"/>
        </w:rPr>
      </w:pPr>
    </w:p>
    <w:p w14:paraId="3DDD41A6">
      <w:pPr>
        <w:spacing w:line="440" w:lineRule="exact"/>
        <w:rPr>
          <w:rFonts w:hint="eastAsia" w:ascii="宋体" w:hAnsi="宋体" w:cs="宋体"/>
          <w:color w:val="000000"/>
          <w:kern w:val="0"/>
          <w:sz w:val="24"/>
          <w:szCs w:val="24"/>
          <w:highlight w:val="none"/>
          <w:lang w:bidi="ar"/>
        </w:rPr>
      </w:pPr>
    </w:p>
    <w:p w14:paraId="5C4C2F66">
      <w:pPr>
        <w:spacing w:line="36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注：</w:t>
      </w:r>
    </w:p>
    <w:p w14:paraId="5B6C796C">
      <w:pPr>
        <w:spacing w:line="36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eastAsia="宋体" w:cs="宋体"/>
          <w:color w:val="000000"/>
          <w:szCs w:val="21"/>
          <w:highlight w:val="none"/>
          <w:lang w:eastAsia="zh-CN"/>
        </w:rPr>
        <w:t>供应商</w:t>
      </w:r>
      <w:r>
        <w:rPr>
          <w:rFonts w:hint="eastAsia" w:ascii="宋体" w:hAnsi="宋体" w:eastAsia="宋体" w:cs="宋体"/>
          <w:color w:val="000000"/>
          <w:szCs w:val="21"/>
          <w:highlight w:val="none"/>
        </w:rPr>
        <w:t>的报价应包含所投服务的所有费用。</w:t>
      </w:r>
    </w:p>
    <w:p w14:paraId="327788BD">
      <w:pPr>
        <w:spacing w:line="36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2、本《项目报价书》为第一轮报价，第一轮报价高于公告要求的最高限价的按无效投标处理。</w:t>
      </w:r>
    </w:p>
    <w:p w14:paraId="5A2421CB">
      <w:pPr>
        <w:autoSpaceDE w:val="0"/>
        <w:autoSpaceDN w:val="0"/>
        <w:spacing w:before="104"/>
        <w:ind w:left="1367" w:right="1506"/>
        <w:jc w:val="center"/>
        <w:outlineLvl w:val="1"/>
        <w:rPr>
          <w:rFonts w:ascii="宋体" w:hAnsi="宋体" w:cs="宋体"/>
          <w:b/>
          <w:bCs/>
          <w:sz w:val="24"/>
          <w:szCs w:val="24"/>
          <w:highlight w:val="none"/>
          <w:lang w:val="zh-CN" w:bidi="zh-CN"/>
        </w:rPr>
      </w:pPr>
      <w:r>
        <w:rPr>
          <w:rFonts w:hint="eastAsia" w:ascii="宋体" w:hAnsi="宋体" w:cs="宋体"/>
          <w:b/>
          <w:bCs/>
          <w:sz w:val="24"/>
          <w:szCs w:val="24"/>
          <w:highlight w:val="none"/>
        </w:rPr>
        <w:br w:type="page"/>
      </w:r>
      <w:r>
        <w:rPr>
          <w:rFonts w:hint="eastAsia" w:ascii="宋体" w:hAnsi="宋体" w:cs="宋体"/>
          <w:b/>
          <w:bCs/>
          <w:sz w:val="24"/>
          <w:szCs w:val="24"/>
          <w:highlight w:val="none"/>
        </w:rPr>
        <w:t>五、最终</w:t>
      </w:r>
      <w:r>
        <w:rPr>
          <w:rFonts w:hint="eastAsia" w:ascii="宋体" w:hAnsi="宋体" w:cs="宋体"/>
          <w:b/>
          <w:bCs/>
          <w:sz w:val="24"/>
          <w:szCs w:val="24"/>
          <w:highlight w:val="none"/>
          <w:lang w:val="zh-CN"/>
        </w:rPr>
        <w:t>承</w:t>
      </w:r>
      <w:r>
        <w:rPr>
          <w:rFonts w:ascii="宋体" w:hAnsi="宋体" w:cs="宋体"/>
          <w:b/>
          <w:bCs/>
          <w:sz w:val="24"/>
          <w:szCs w:val="24"/>
          <w:highlight w:val="none"/>
          <w:lang w:val="zh-CN" w:bidi="zh-CN"/>
        </w:rPr>
        <w:t>诺报价表</w:t>
      </w:r>
    </w:p>
    <w:p w14:paraId="3CAD1794">
      <w:pPr>
        <w:autoSpaceDE w:val="0"/>
        <w:autoSpaceDN w:val="0"/>
        <w:spacing w:before="9"/>
        <w:jc w:val="left"/>
        <w:rPr>
          <w:rFonts w:ascii="宋体" w:hAnsi="宋体" w:cs="宋体"/>
          <w:b/>
          <w:sz w:val="24"/>
          <w:szCs w:val="24"/>
          <w:highlight w:val="none"/>
          <w:lang w:val="zh-CN" w:bidi="zh-CN"/>
        </w:rPr>
      </w:pPr>
    </w:p>
    <w:p w14:paraId="0FF26442">
      <w:pPr>
        <w:tabs>
          <w:tab w:val="left" w:pos="1663"/>
        </w:tabs>
        <w:autoSpaceDE w:val="0"/>
        <w:autoSpaceDN w:val="0"/>
        <w:jc w:val="center"/>
        <w:rPr>
          <w:rFonts w:ascii="宋体" w:hAnsi="宋体" w:cs="宋体"/>
          <w:b/>
          <w:bCs/>
          <w:sz w:val="24"/>
          <w:szCs w:val="24"/>
          <w:highlight w:val="none"/>
          <w:lang w:val="zh-CN" w:bidi="zh-CN"/>
        </w:rPr>
      </w:pPr>
      <w:r>
        <w:rPr>
          <w:rFonts w:ascii="宋体" w:hAnsi="宋体" w:cs="宋体"/>
          <w:b/>
          <w:bCs/>
          <w:sz w:val="24"/>
          <w:szCs w:val="24"/>
          <w:highlight w:val="none"/>
          <w:lang w:val="zh-CN" w:bidi="zh-CN"/>
        </w:rPr>
        <w:t>（某项目第</w:t>
      </w:r>
      <w:r>
        <w:rPr>
          <w:rFonts w:ascii="宋体" w:hAnsi="宋体" w:cs="宋体"/>
          <w:b/>
          <w:bCs/>
          <w:sz w:val="24"/>
          <w:szCs w:val="24"/>
          <w:highlight w:val="none"/>
          <w:u w:val="single"/>
          <w:lang w:val="zh-CN" w:bidi="zh-CN"/>
        </w:rPr>
        <w:tab/>
      </w:r>
      <w:r>
        <w:rPr>
          <w:rFonts w:ascii="宋体" w:hAnsi="宋体" w:cs="宋体"/>
          <w:b/>
          <w:bCs/>
          <w:sz w:val="24"/>
          <w:szCs w:val="24"/>
          <w:highlight w:val="none"/>
          <w:lang w:val="zh-CN" w:bidi="zh-CN"/>
        </w:rPr>
        <w:t>次报价书）</w:t>
      </w:r>
    </w:p>
    <w:p w14:paraId="67B45FD9">
      <w:pPr>
        <w:autoSpaceDE w:val="0"/>
        <w:autoSpaceDN w:val="0"/>
        <w:spacing w:before="9"/>
        <w:jc w:val="left"/>
        <w:rPr>
          <w:rFonts w:ascii="宋体" w:hAnsi="宋体" w:cs="宋体"/>
          <w:b/>
          <w:sz w:val="12"/>
          <w:szCs w:val="24"/>
          <w:highlight w:val="none"/>
          <w:lang w:val="zh-CN" w:bidi="zh-CN"/>
        </w:rPr>
      </w:pPr>
    </w:p>
    <w:p w14:paraId="6023BD6C">
      <w:pPr>
        <w:keepNext w:val="0"/>
        <w:keepLines w:val="0"/>
        <w:pageBreakBefore w:val="0"/>
        <w:widowControl w:val="0"/>
        <w:tabs>
          <w:tab w:val="left" w:pos="2992"/>
        </w:tabs>
        <w:kinsoku/>
        <w:wordWrap/>
        <w:overflowPunct/>
        <w:topLinePunct w:val="0"/>
        <w:autoSpaceDE w:val="0"/>
        <w:autoSpaceDN w:val="0"/>
        <w:bidi w:val="0"/>
        <w:adjustRightInd w:val="0"/>
        <w:snapToGrid w:val="0"/>
        <w:spacing w:line="360" w:lineRule="auto"/>
        <w:ind w:left="0" w:right="0"/>
        <w:jc w:val="left"/>
        <w:textAlignment w:val="auto"/>
        <w:rPr>
          <w:rFonts w:hint="default" w:ascii="宋体" w:hAnsi="宋体" w:cs="宋体"/>
          <w:b/>
          <w:bCs/>
          <w:sz w:val="24"/>
          <w:szCs w:val="24"/>
          <w:highlight w:val="none"/>
          <w:u w:val="single"/>
          <w:lang w:val="en-US" w:bidi="zh-CN"/>
        </w:rPr>
      </w:pPr>
      <w:r>
        <w:rPr>
          <w:rFonts w:ascii="宋体" w:hAnsi="宋体" w:cs="宋体"/>
          <w:b/>
          <w:bCs/>
          <w:sz w:val="24"/>
          <w:szCs w:val="24"/>
          <w:highlight w:val="none"/>
          <w:lang w:val="zh-CN" w:bidi="zh-CN"/>
        </w:rPr>
        <w:t>项目名称：</w:t>
      </w:r>
      <w:r>
        <w:rPr>
          <w:rFonts w:hint="eastAsia" w:ascii="宋体" w:hAnsi="宋体" w:cs="宋体"/>
          <w:b/>
          <w:bCs/>
          <w:spacing w:val="119"/>
          <w:sz w:val="24"/>
          <w:szCs w:val="24"/>
          <w:highlight w:val="none"/>
          <w:u w:val="single"/>
          <w:lang w:val="en-US" w:bidi="zh-CN"/>
        </w:rPr>
        <w:tab/>
      </w:r>
      <w:r>
        <w:rPr>
          <w:rFonts w:hint="eastAsia" w:ascii="宋体" w:hAnsi="宋体" w:cs="宋体"/>
          <w:b/>
          <w:bCs/>
          <w:spacing w:val="119"/>
          <w:sz w:val="24"/>
          <w:szCs w:val="24"/>
          <w:highlight w:val="none"/>
          <w:u w:val="single"/>
          <w:lang w:val="en-US" w:bidi="zh-CN"/>
        </w:rPr>
        <w:tab/>
      </w:r>
      <w:r>
        <w:rPr>
          <w:rFonts w:hint="eastAsia" w:ascii="宋体" w:hAnsi="宋体" w:cs="宋体"/>
          <w:b/>
          <w:bCs/>
          <w:spacing w:val="119"/>
          <w:sz w:val="24"/>
          <w:szCs w:val="24"/>
          <w:highlight w:val="none"/>
          <w:u w:val="single"/>
          <w:lang w:val="en-US" w:bidi="zh-CN"/>
        </w:rPr>
        <w:tab/>
      </w:r>
    </w:p>
    <w:p w14:paraId="45B76022">
      <w:pPr>
        <w:keepNext w:val="0"/>
        <w:keepLines w:val="0"/>
        <w:pageBreakBefore w:val="0"/>
        <w:widowControl w:val="0"/>
        <w:tabs>
          <w:tab w:val="left" w:pos="2992"/>
        </w:tabs>
        <w:kinsoku/>
        <w:wordWrap/>
        <w:overflowPunct/>
        <w:topLinePunct w:val="0"/>
        <w:autoSpaceDE w:val="0"/>
        <w:autoSpaceDN w:val="0"/>
        <w:bidi w:val="0"/>
        <w:adjustRightInd w:val="0"/>
        <w:snapToGrid w:val="0"/>
        <w:spacing w:line="360" w:lineRule="auto"/>
        <w:ind w:left="0" w:right="0"/>
        <w:jc w:val="left"/>
        <w:textAlignment w:val="auto"/>
        <w:rPr>
          <w:rFonts w:hint="default" w:ascii="宋体" w:hAnsi="宋体" w:cs="宋体"/>
          <w:b/>
          <w:bCs/>
          <w:sz w:val="24"/>
          <w:szCs w:val="24"/>
          <w:highlight w:val="none"/>
          <w:lang w:val="en-US" w:bidi="zh-CN"/>
        </w:rPr>
      </w:pPr>
      <w:r>
        <w:rPr>
          <w:rFonts w:ascii="宋体" w:hAnsi="宋体" w:cs="宋体"/>
          <w:b/>
          <w:bCs/>
          <w:sz w:val="24"/>
          <w:szCs w:val="24"/>
          <w:highlight w:val="none"/>
          <w:lang w:val="zh-CN" w:bidi="zh-CN"/>
        </w:rPr>
        <w:t>项目编号：</w:t>
      </w:r>
      <w:r>
        <w:rPr>
          <w:rFonts w:hint="eastAsia" w:ascii="宋体" w:hAnsi="宋体" w:cs="宋体"/>
          <w:b/>
          <w:bCs/>
          <w:spacing w:val="119"/>
          <w:sz w:val="24"/>
          <w:szCs w:val="24"/>
          <w:highlight w:val="none"/>
          <w:u w:val="single"/>
          <w:lang w:val="en-US" w:bidi="zh-CN"/>
        </w:rPr>
        <w:tab/>
      </w:r>
      <w:r>
        <w:rPr>
          <w:rFonts w:hint="eastAsia" w:ascii="宋体" w:hAnsi="宋体" w:cs="宋体"/>
          <w:b/>
          <w:bCs/>
          <w:spacing w:val="119"/>
          <w:sz w:val="24"/>
          <w:szCs w:val="24"/>
          <w:highlight w:val="none"/>
          <w:u w:val="single"/>
          <w:lang w:val="en-US" w:bidi="zh-CN"/>
        </w:rPr>
        <w:tab/>
      </w:r>
      <w:r>
        <w:rPr>
          <w:rFonts w:hint="eastAsia" w:ascii="宋体" w:hAnsi="宋体" w:cs="宋体"/>
          <w:b/>
          <w:bCs/>
          <w:spacing w:val="119"/>
          <w:sz w:val="24"/>
          <w:szCs w:val="24"/>
          <w:highlight w:val="none"/>
          <w:u w:val="single"/>
          <w:lang w:val="en-US" w:bidi="zh-CN"/>
        </w:rPr>
        <w:tab/>
      </w:r>
    </w:p>
    <w:p w14:paraId="4BBCCE93">
      <w:pPr>
        <w:autoSpaceDE w:val="0"/>
        <w:autoSpaceDN w:val="0"/>
        <w:spacing w:before="1" w:after="1"/>
        <w:jc w:val="left"/>
        <w:rPr>
          <w:rFonts w:ascii="宋体" w:hAnsi="宋体" w:cs="宋体"/>
          <w:b/>
          <w:sz w:val="12"/>
          <w:szCs w:val="24"/>
          <w:highlight w:val="none"/>
          <w:lang w:val="zh-CN" w:bidi="zh-CN"/>
        </w:rPr>
      </w:pPr>
    </w:p>
    <w:tbl>
      <w:tblPr>
        <w:tblStyle w:val="20"/>
        <w:tblW w:w="85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461"/>
        <w:gridCol w:w="6064"/>
      </w:tblGrid>
      <w:tr w14:paraId="4308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6" w:hRule="atLeast"/>
          <w:jc w:val="center"/>
        </w:trPr>
        <w:tc>
          <w:tcPr>
            <w:tcW w:w="2461" w:type="dxa"/>
            <w:noWrap w:val="0"/>
            <w:vAlign w:val="center"/>
          </w:tcPr>
          <w:p w14:paraId="078C0C45">
            <w:pPr>
              <w:keepNext w:val="0"/>
              <w:keepLines w:val="0"/>
              <w:pageBreakBefore w:val="0"/>
              <w:widowControl w:val="0"/>
              <w:kinsoku/>
              <w:wordWrap/>
              <w:overflowPunct/>
              <w:topLinePunct w:val="0"/>
              <w:autoSpaceDE w:val="0"/>
              <w:autoSpaceDN w:val="0"/>
              <w:bidi w:val="0"/>
              <w:adjustRightInd w:val="0"/>
              <w:snapToGrid w:val="0"/>
              <w:ind w:right="0"/>
              <w:jc w:val="center"/>
              <w:textAlignment w:val="auto"/>
              <w:rPr>
                <w:rFonts w:ascii="宋体" w:hAnsi="宋体" w:cs="宋体"/>
                <w:b/>
                <w:sz w:val="24"/>
                <w:szCs w:val="22"/>
                <w:highlight w:val="none"/>
                <w:lang w:val="zh-CN" w:bidi="zh-CN"/>
              </w:rPr>
            </w:pPr>
            <w:r>
              <w:rPr>
                <w:rFonts w:ascii="宋体" w:hAnsi="宋体" w:cs="宋体"/>
                <w:b/>
                <w:sz w:val="24"/>
                <w:szCs w:val="22"/>
                <w:highlight w:val="none"/>
                <w:lang w:val="zh-CN" w:bidi="zh-CN"/>
              </w:rPr>
              <w:t>供应商名称</w:t>
            </w:r>
          </w:p>
        </w:tc>
        <w:tc>
          <w:tcPr>
            <w:tcW w:w="6064" w:type="dxa"/>
            <w:noWrap w:val="0"/>
            <w:vAlign w:val="top"/>
          </w:tcPr>
          <w:p w14:paraId="03A72D1D">
            <w:pPr>
              <w:autoSpaceDE w:val="0"/>
              <w:autoSpaceDN w:val="0"/>
              <w:jc w:val="left"/>
              <w:rPr>
                <w:rFonts w:hAnsi="宋体" w:cs="宋体"/>
                <w:sz w:val="22"/>
                <w:szCs w:val="22"/>
                <w:highlight w:val="none"/>
                <w:lang w:val="zh-CN" w:bidi="zh-CN"/>
              </w:rPr>
            </w:pPr>
          </w:p>
        </w:tc>
      </w:tr>
      <w:tr w14:paraId="7B190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75" w:hRule="atLeast"/>
          <w:jc w:val="center"/>
        </w:trPr>
        <w:tc>
          <w:tcPr>
            <w:tcW w:w="2461" w:type="dxa"/>
            <w:noWrap w:val="0"/>
            <w:vAlign w:val="center"/>
          </w:tcPr>
          <w:p w14:paraId="17D47CC1">
            <w:pPr>
              <w:keepNext w:val="0"/>
              <w:keepLines w:val="0"/>
              <w:pageBreakBefore w:val="0"/>
              <w:widowControl w:val="0"/>
              <w:kinsoku/>
              <w:wordWrap/>
              <w:overflowPunct/>
              <w:topLinePunct w:val="0"/>
              <w:autoSpaceDE w:val="0"/>
              <w:autoSpaceDN w:val="0"/>
              <w:bidi w:val="0"/>
              <w:adjustRightInd w:val="0"/>
              <w:snapToGrid w:val="0"/>
              <w:ind w:right="0"/>
              <w:jc w:val="center"/>
              <w:textAlignment w:val="auto"/>
              <w:rPr>
                <w:rFonts w:ascii="宋体" w:hAnsi="宋体" w:cs="宋体"/>
                <w:b/>
                <w:sz w:val="24"/>
                <w:szCs w:val="22"/>
                <w:highlight w:val="none"/>
                <w:lang w:val="zh-CN" w:bidi="zh-CN"/>
              </w:rPr>
            </w:pPr>
            <w:r>
              <w:rPr>
                <w:rFonts w:hint="eastAsia" w:ascii="宋体" w:hAnsi="宋体" w:cs="宋体"/>
                <w:b/>
                <w:sz w:val="24"/>
                <w:szCs w:val="22"/>
                <w:highlight w:val="none"/>
                <w:lang w:bidi="zh-CN"/>
              </w:rPr>
              <w:t>谈判</w:t>
            </w:r>
            <w:r>
              <w:rPr>
                <w:rFonts w:ascii="宋体" w:hAnsi="宋体" w:cs="宋体"/>
                <w:b/>
                <w:sz w:val="24"/>
                <w:szCs w:val="22"/>
                <w:highlight w:val="none"/>
                <w:lang w:val="zh-CN" w:bidi="zh-CN"/>
              </w:rPr>
              <w:t>范围</w:t>
            </w:r>
          </w:p>
        </w:tc>
        <w:tc>
          <w:tcPr>
            <w:tcW w:w="6064" w:type="dxa"/>
            <w:noWrap w:val="0"/>
            <w:vAlign w:val="center"/>
          </w:tcPr>
          <w:p w14:paraId="51DF0177">
            <w:pPr>
              <w:tabs>
                <w:tab w:val="left" w:pos="1547"/>
              </w:tabs>
              <w:autoSpaceDE w:val="0"/>
              <w:autoSpaceDN w:val="0"/>
              <w:jc w:val="left"/>
              <w:rPr>
                <w:rFonts w:ascii="宋体" w:hAnsi="宋体" w:cs="宋体"/>
                <w:sz w:val="24"/>
                <w:szCs w:val="22"/>
                <w:highlight w:val="none"/>
                <w:lang w:val="zh-CN" w:bidi="zh-CN"/>
              </w:rPr>
            </w:pPr>
            <w:r>
              <w:rPr>
                <w:rFonts w:ascii="宋体" w:hAnsi="宋体" w:cs="宋体"/>
                <w:sz w:val="24"/>
                <w:szCs w:val="22"/>
                <w:highlight w:val="none"/>
                <w:lang w:val="zh-CN" w:bidi="zh-CN"/>
              </w:rPr>
              <w:t>全部 / 第</w:t>
            </w:r>
            <w:r>
              <w:rPr>
                <w:rFonts w:ascii="宋体" w:hAnsi="宋体" w:cs="宋体"/>
                <w:sz w:val="24"/>
                <w:szCs w:val="22"/>
                <w:highlight w:val="none"/>
                <w:u w:val="single"/>
                <w:lang w:val="zh-CN" w:bidi="zh-CN"/>
              </w:rPr>
              <w:tab/>
            </w:r>
            <w:r>
              <w:rPr>
                <w:rFonts w:ascii="宋体" w:hAnsi="宋体" w:cs="宋体"/>
                <w:sz w:val="24"/>
                <w:szCs w:val="22"/>
                <w:highlight w:val="none"/>
                <w:lang w:val="zh-CN" w:bidi="zh-CN"/>
              </w:rPr>
              <w:t>包</w:t>
            </w:r>
          </w:p>
        </w:tc>
      </w:tr>
      <w:tr w14:paraId="60CB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691" w:hRule="atLeast"/>
          <w:jc w:val="center"/>
        </w:trPr>
        <w:tc>
          <w:tcPr>
            <w:tcW w:w="2461" w:type="dxa"/>
            <w:noWrap w:val="0"/>
            <w:vAlign w:val="center"/>
          </w:tcPr>
          <w:p w14:paraId="4403EB11">
            <w:pPr>
              <w:keepNext w:val="0"/>
              <w:keepLines w:val="0"/>
              <w:pageBreakBefore w:val="0"/>
              <w:widowControl w:val="0"/>
              <w:kinsoku/>
              <w:wordWrap/>
              <w:overflowPunct/>
              <w:topLinePunct w:val="0"/>
              <w:autoSpaceDE w:val="0"/>
              <w:autoSpaceDN w:val="0"/>
              <w:bidi w:val="0"/>
              <w:adjustRightInd w:val="0"/>
              <w:snapToGrid w:val="0"/>
              <w:ind w:right="0"/>
              <w:jc w:val="center"/>
              <w:textAlignment w:val="auto"/>
              <w:rPr>
                <w:rFonts w:ascii="宋体" w:hAnsi="宋体" w:cs="宋体"/>
                <w:b/>
                <w:sz w:val="24"/>
                <w:szCs w:val="22"/>
                <w:highlight w:val="none"/>
                <w:lang w:val="zh-CN" w:bidi="zh-CN"/>
              </w:rPr>
            </w:pPr>
            <w:r>
              <w:rPr>
                <w:rFonts w:hint="eastAsia" w:ascii="宋体" w:hAnsi="宋体" w:cs="宋体"/>
                <w:b/>
                <w:bCs/>
                <w:color w:val="000000"/>
                <w:highlight w:val="none"/>
              </w:rPr>
              <w:t>投标报价</w:t>
            </w:r>
          </w:p>
        </w:tc>
        <w:tc>
          <w:tcPr>
            <w:tcW w:w="6064" w:type="dxa"/>
            <w:noWrap w:val="0"/>
            <w:vAlign w:val="center"/>
          </w:tcPr>
          <w:p w14:paraId="0C9AC4C4">
            <w:pPr>
              <w:widowControl/>
              <w:adjustRightInd w:val="0"/>
              <w:snapToGrid w:val="0"/>
              <w:spacing w:line="320" w:lineRule="auto"/>
              <w:jc w:val="both"/>
              <w:rPr>
                <w:rFonts w:hint="default" w:ascii="宋体" w:hAnsi="宋体" w:cs="宋体"/>
                <w:b/>
                <w:sz w:val="24"/>
                <w:szCs w:val="24"/>
                <w:highlight w:val="none"/>
                <w:u w:val="single"/>
                <w:lang w:val="en-US"/>
              </w:rPr>
            </w:pPr>
            <w:r>
              <w:rPr>
                <w:rFonts w:hint="eastAsia" w:ascii="宋体" w:hAnsi="宋体" w:cs="宋体"/>
                <w:b/>
                <w:sz w:val="24"/>
                <w:szCs w:val="24"/>
                <w:highlight w:val="none"/>
                <w:lang w:val="en-US" w:eastAsia="zh-CN"/>
              </w:rPr>
              <w:t>小写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 xml:space="preserve">   元</w:t>
            </w:r>
          </w:p>
          <w:p w14:paraId="4BF2820F">
            <w:pPr>
              <w:spacing w:line="640" w:lineRule="exact"/>
              <w:jc w:val="both"/>
              <w:rPr>
                <w:rFonts w:hAnsi="宋体" w:eastAsia="Times New Roman" w:cs="宋体"/>
                <w:sz w:val="24"/>
                <w:szCs w:val="22"/>
                <w:highlight w:val="none"/>
                <w:lang w:val="zh-CN" w:bidi="zh-CN"/>
              </w:rPr>
            </w:pPr>
            <w:r>
              <w:rPr>
                <w:rFonts w:hint="eastAsia" w:ascii="宋体" w:hAnsi="宋体" w:cs="宋体"/>
                <w:b/>
                <w:sz w:val="24"/>
                <w:szCs w:val="24"/>
                <w:highlight w:val="none"/>
                <w:lang w:val="en-US" w:eastAsia="zh-CN"/>
              </w:rPr>
              <w:t>大写</w:t>
            </w:r>
            <w:r>
              <w:rPr>
                <w:rFonts w:hint="eastAsia" w:ascii="宋体" w:hAnsi="宋体" w:cs="宋体"/>
                <w:b/>
                <w:sz w:val="24"/>
                <w:szCs w:val="24"/>
                <w:highlight w:val="none"/>
              </w:rPr>
              <w:t>：</w:t>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r>
              <w:rPr>
                <w:rFonts w:hint="eastAsia" w:ascii="宋体" w:hAnsi="宋体" w:cs="宋体"/>
                <w:szCs w:val="21"/>
                <w:highlight w:val="none"/>
                <w:u w:val="single"/>
                <w:lang w:val="en-US" w:eastAsia="zh-CN"/>
              </w:rPr>
              <w:tab/>
            </w:r>
          </w:p>
        </w:tc>
      </w:tr>
      <w:tr w14:paraId="70F9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80" w:hRule="atLeast"/>
          <w:jc w:val="center"/>
        </w:trPr>
        <w:tc>
          <w:tcPr>
            <w:tcW w:w="2461" w:type="dxa"/>
            <w:noWrap w:val="0"/>
            <w:vAlign w:val="center"/>
          </w:tcPr>
          <w:p w14:paraId="3B519159">
            <w:pPr>
              <w:keepNext w:val="0"/>
              <w:keepLines w:val="0"/>
              <w:pageBreakBefore w:val="0"/>
              <w:widowControl w:val="0"/>
              <w:kinsoku/>
              <w:wordWrap/>
              <w:overflowPunct/>
              <w:topLinePunct w:val="0"/>
              <w:autoSpaceDE w:val="0"/>
              <w:autoSpaceDN w:val="0"/>
              <w:bidi w:val="0"/>
              <w:adjustRightInd w:val="0"/>
              <w:snapToGrid w:val="0"/>
              <w:ind w:right="0"/>
              <w:jc w:val="center"/>
              <w:textAlignment w:val="auto"/>
              <w:rPr>
                <w:rFonts w:ascii="宋体" w:hAnsi="宋体" w:cs="宋体"/>
                <w:b/>
                <w:sz w:val="24"/>
                <w:szCs w:val="22"/>
                <w:highlight w:val="none"/>
                <w:lang w:val="zh-CN" w:bidi="zh-CN"/>
              </w:rPr>
            </w:pPr>
            <w:r>
              <w:rPr>
                <w:rFonts w:ascii="宋体" w:hAnsi="宋体" w:cs="宋体"/>
                <w:b/>
                <w:sz w:val="24"/>
                <w:szCs w:val="22"/>
                <w:highlight w:val="none"/>
                <w:lang w:val="zh-CN" w:bidi="zh-CN"/>
              </w:rPr>
              <w:t>备注说明</w:t>
            </w:r>
          </w:p>
        </w:tc>
        <w:tc>
          <w:tcPr>
            <w:tcW w:w="6064" w:type="dxa"/>
            <w:noWrap w:val="0"/>
            <w:vAlign w:val="top"/>
          </w:tcPr>
          <w:p w14:paraId="43F6E133">
            <w:pPr>
              <w:autoSpaceDE w:val="0"/>
              <w:autoSpaceDN w:val="0"/>
              <w:jc w:val="left"/>
              <w:rPr>
                <w:rFonts w:hAnsi="宋体" w:cs="宋体"/>
                <w:sz w:val="22"/>
                <w:szCs w:val="22"/>
                <w:highlight w:val="none"/>
                <w:lang w:val="zh-CN" w:bidi="zh-CN"/>
              </w:rPr>
            </w:pPr>
          </w:p>
        </w:tc>
      </w:tr>
    </w:tbl>
    <w:p w14:paraId="2AF83CB8">
      <w:pPr>
        <w:autoSpaceDE w:val="0"/>
        <w:autoSpaceDN w:val="0"/>
        <w:spacing w:before="79"/>
        <w:ind w:left="4421"/>
        <w:jc w:val="left"/>
        <w:rPr>
          <w:rFonts w:ascii="宋体" w:hAnsi="宋体" w:cs="宋体"/>
          <w:sz w:val="24"/>
          <w:szCs w:val="24"/>
          <w:highlight w:val="none"/>
          <w:lang w:val="zh-CN" w:bidi="zh-CN"/>
        </w:rPr>
      </w:pPr>
      <w:r>
        <w:rPr>
          <w:rFonts w:ascii="宋体" w:hAnsi="宋体" w:cs="宋体"/>
          <w:sz w:val="24"/>
          <w:szCs w:val="24"/>
          <w:highlight w:val="none"/>
          <w:lang w:val="zh-CN" w:bidi="zh-CN"/>
        </w:rPr>
        <w:t>供应商公章或授权代表签字：</w:t>
      </w:r>
    </w:p>
    <w:p w14:paraId="64E5A712">
      <w:pPr>
        <w:tabs>
          <w:tab w:val="left" w:pos="5861"/>
          <w:tab w:val="left" w:pos="8556"/>
        </w:tabs>
        <w:autoSpaceDE w:val="0"/>
        <w:autoSpaceDN w:val="0"/>
        <w:spacing w:before="160"/>
        <w:ind w:left="4421"/>
        <w:jc w:val="left"/>
        <w:rPr>
          <w:rFonts w:hAnsi="宋体" w:cs="宋体"/>
          <w:sz w:val="29"/>
          <w:szCs w:val="24"/>
          <w:highlight w:val="none"/>
          <w:lang w:val="zh-CN" w:bidi="zh-CN"/>
        </w:rPr>
      </w:pPr>
      <w:r>
        <w:rPr>
          <w:rFonts w:ascii="宋体" w:hAnsi="宋体" w:cs="宋体"/>
          <w:sz w:val="24"/>
          <w:szCs w:val="24"/>
          <w:highlight w:val="none"/>
          <w:lang w:val="zh-CN" w:bidi="zh-CN"/>
        </w:rPr>
        <w:t>日</w:t>
      </w:r>
      <w:r>
        <w:rPr>
          <w:rFonts w:ascii="宋体" w:hAnsi="宋体" w:cs="宋体"/>
          <w:sz w:val="24"/>
          <w:szCs w:val="24"/>
          <w:highlight w:val="none"/>
          <w:lang w:val="zh-CN" w:bidi="zh-CN"/>
        </w:rPr>
        <w:tab/>
      </w:r>
      <w:r>
        <w:rPr>
          <w:rFonts w:ascii="宋体" w:hAnsi="宋体" w:cs="宋体"/>
          <w:sz w:val="24"/>
          <w:szCs w:val="24"/>
          <w:highlight w:val="none"/>
          <w:lang w:val="zh-CN" w:bidi="zh-CN"/>
        </w:rPr>
        <w:t>期：</w:t>
      </w:r>
      <w:r>
        <w:rPr>
          <w:rFonts w:hAnsi="宋体" w:eastAsia="Times New Roman" w:cs="宋体"/>
          <w:sz w:val="24"/>
          <w:szCs w:val="24"/>
          <w:highlight w:val="none"/>
          <w:u w:val="single"/>
          <w:lang w:val="zh-CN" w:bidi="zh-CN"/>
        </w:rPr>
        <w:t xml:space="preserve"> </w:t>
      </w:r>
      <w:r>
        <w:rPr>
          <w:rFonts w:hAnsi="宋体" w:eastAsia="Times New Roman" w:cs="宋体"/>
          <w:sz w:val="24"/>
          <w:szCs w:val="24"/>
          <w:highlight w:val="none"/>
          <w:u w:val="single"/>
          <w:lang w:val="zh-CN" w:bidi="zh-CN"/>
        </w:rPr>
        <w:tab/>
      </w:r>
    </w:p>
    <w:p w14:paraId="75D7231E">
      <w:pPr>
        <w:autoSpaceDE w:val="0"/>
        <w:autoSpaceDN w:val="0"/>
        <w:spacing w:before="66" w:line="364" w:lineRule="auto"/>
        <w:ind w:left="220" w:right="353" w:firstLine="434"/>
        <w:rPr>
          <w:rFonts w:ascii="宋体" w:hAnsi="宋体" w:cs="宋体"/>
          <w:b/>
          <w:bCs/>
          <w:sz w:val="24"/>
          <w:szCs w:val="24"/>
          <w:highlight w:val="none"/>
          <w:lang w:val="zh-CN" w:bidi="zh-CN"/>
        </w:rPr>
      </w:pPr>
      <w:r>
        <w:rPr>
          <w:rFonts w:ascii="宋体" w:hAnsi="宋体" w:cs="宋体"/>
          <w:b/>
          <w:spacing w:val="-9"/>
          <w:sz w:val="24"/>
          <w:szCs w:val="24"/>
          <w:highlight w:val="none"/>
          <w:lang w:val="zh-CN" w:bidi="zh-CN"/>
        </w:rPr>
        <w:t>注：</w:t>
      </w:r>
      <w:r>
        <w:rPr>
          <w:rFonts w:hint="eastAsia" w:ascii="宋体" w:hAnsi="宋体" w:cs="宋体"/>
          <w:b/>
          <w:spacing w:val="-9"/>
          <w:sz w:val="24"/>
          <w:szCs w:val="24"/>
          <w:highlight w:val="none"/>
          <w:lang w:bidi="zh-CN"/>
        </w:rPr>
        <w:t>1</w:t>
      </w:r>
      <w:r>
        <w:rPr>
          <w:rFonts w:hint="eastAsia" w:ascii="宋体" w:hAnsi="宋体" w:cs="宋体"/>
          <w:b/>
          <w:bCs/>
          <w:spacing w:val="-5"/>
          <w:sz w:val="24"/>
          <w:szCs w:val="24"/>
          <w:highlight w:val="none"/>
          <w:lang w:bidi="zh-CN"/>
        </w:rPr>
        <w:t>、</w:t>
      </w:r>
      <w:r>
        <w:rPr>
          <w:rFonts w:ascii="宋体" w:hAnsi="宋体" w:cs="宋体"/>
          <w:b/>
          <w:bCs/>
          <w:spacing w:val="-5"/>
          <w:sz w:val="24"/>
          <w:szCs w:val="24"/>
          <w:highlight w:val="none"/>
          <w:lang w:val="zh-CN" w:bidi="zh-CN"/>
        </w:rPr>
        <w:t>本页《</w:t>
      </w:r>
      <w:r>
        <w:rPr>
          <w:rFonts w:hint="eastAsia" w:ascii="宋体" w:hAnsi="宋体" w:cs="宋体"/>
          <w:b/>
          <w:bCs/>
          <w:spacing w:val="-5"/>
          <w:sz w:val="24"/>
          <w:szCs w:val="24"/>
          <w:highlight w:val="none"/>
          <w:lang w:bidi="zh-CN"/>
        </w:rPr>
        <w:t>最终承诺</w:t>
      </w:r>
      <w:r>
        <w:rPr>
          <w:rFonts w:ascii="宋体" w:hAnsi="宋体" w:cs="宋体"/>
          <w:b/>
          <w:bCs/>
          <w:spacing w:val="-5"/>
          <w:sz w:val="24"/>
          <w:szCs w:val="24"/>
          <w:highlight w:val="none"/>
          <w:lang w:val="zh-CN" w:bidi="zh-CN"/>
        </w:rPr>
        <w:t>报价表》由供应商在现场依</w:t>
      </w:r>
      <w:r>
        <w:rPr>
          <w:rFonts w:hint="eastAsia" w:ascii="宋体" w:hAnsi="宋体" w:cs="宋体"/>
          <w:b/>
          <w:bCs/>
          <w:spacing w:val="-5"/>
          <w:sz w:val="24"/>
          <w:szCs w:val="24"/>
          <w:highlight w:val="none"/>
          <w:lang w:val="zh-CN" w:bidi="zh-CN"/>
        </w:rPr>
        <w:t>谈判</w:t>
      </w:r>
      <w:r>
        <w:rPr>
          <w:rFonts w:ascii="宋体" w:hAnsi="宋体" w:cs="宋体"/>
          <w:b/>
          <w:bCs/>
          <w:spacing w:val="-5"/>
          <w:sz w:val="24"/>
          <w:szCs w:val="24"/>
          <w:highlight w:val="none"/>
          <w:lang w:val="zh-CN" w:bidi="zh-CN"/>
        </w:rPr>
        <w:t>情况填写，</w:t>
      </w:r>
      <w:r>
        <w:rPr>
          <w:rFonts w:hint="eastAsia" w:ascii="宋体" w:hAnsi="宋体" w:cs="宋体"/>
          <w:b/>
          <w:bCs/>
          <w:spacing w:val="-5"/>
          <w:sz w:val="24"/>
          <w:szCs w:val="24"/>
          <w:highlight w:val="none"/>
          <w:lang w:bidi="zh-CN"/>
        </w:rPr>
        <w:t>在开标时</w:t>
      </w:r>
      <w:r>
        <w:rPr>
          <w:rFonts w:ascii="宋体" w:hAnsi="宋体" w:cs="宋体"/>
          <w:b/>
          <w:bCs/>
          <w:spacing w:val="-5"/>
          <w:sz w:val="24"/>
          <w:szCs w:val="24"/>
          <w:highlight w:val="none"/>
          <w:lang w:val="zh-CN" w:bidi="zh-CN"/>
        </w:rPr>
        <w:t>备填。考虑</w:t>
      </w:r>
      <w:r>
        <w:rPr>
          <w:rFonts w:hint="eastAsia" w:ascii="宋体" w:hAnsi="宋体" w:cs="宋体"/>
          <w:b/>
          <w:bCs/>
          <w:spacing w:val="-5"/>
          <w:sz w:val="24"/>
          <w:szCs w:val="24"/>
          <w:highlight w:val="none"/>
          <w:lang w:bidi="zh-CN"/>
        </w:rPr>
        <w:t>谈判</w:t>
      </w:r>
      <w:r>
        <w:rPr>
          <w:rFonts w:ascii="宋体" w:hAnsi="宋体" w:cs="宋体"/>
          <w:b/>
          <w:bCs/>
          <w:spacing w:val="-5"/>
          <w:sz w:val="24"/>
          <w:szCs w:val="24"/>
          <w:highlight w:val="none"/>
          <w:lang w:val="zh-CN" w:bidi="zh-CN"/>
        </w:rPr>
        <w:t>报价的方便，供应商在填写最后承诺报价后</w:t>
      </w:r>
      <w:r>
        <w:rPr>
          <w:rFonts w:ascii="宋体" w:hAnsi="宋体" w:cs="宋体"/>
          <w:b/>
          <w:bCs/>
          <w:spacing w:val="-152"/>
          <w:sz w:val="24"/>
          <w:szCs w:val="24"/>
          <w:highlight w:val="none"/>
          <w:lang w:val="zh-CN" w:bidi="zh-CN"/>
        </w:rPr>
        <w:t>，</w:t>
      </w:r>
      <w:r>
        <w:rPr>
          <w:rFonts w:ascii="宋体" w:hAnsi="宋体" w:cs="宋体"/>
          <w:b/>
          <w:bCs/>
          <w:sz w:val="24"/>
          <w:szCs w:val="24"/>
          <w:highlight w:val="none"/>
          <w:lang w:val="zh-CN" w:bidi="zh-CN"/>
        </w:rPr>
        <w:t>（</w:t>
      </w:r>
      <w:r>
        <w:rPr>
          <w:rFonts w:ascii="宋体" w:hAnsi="宋体" w:cs="宋体"/>
          <w:b/>
          <w:bCs/>
          <w:spacing w:val="-2"/>
          <w:sz w:val="24"/>
          <w:szCs w:val="24"/>
          <w:highlight w:val="none"/>
          <w:lang w:val="zh-CN" w:bidi="zh-CN"/>
        </w:rPr>
        <w:t>第一次报价-最后</w:t>
      </w:r>
      <w:r>
        <w:rPr>
          <w:rFonts w:ascii="宋体" w:hAnsi="宋体" w:cs="宋体"/>
          <w:b/>
          <w:bCs/>
          <w:sz w:val="24"/>
          <w:szCs w:val="24"/>
          <w:highlight w:val="none"/>
          <w:lang w:val="zh-CN" w:bidi="zh-CN"/>
        </w:rPr>
        <w:t>承诺报价</w:t>
      </w:r>
      <w:r>
        <w:rPr>
          <w:rFonts w:ascii="宋体" w:hAnsi="宋体" w:cs="宋体"/>
          <w:b/>
          <w:bCs/>
          <w:spacing w:val="-48"/>
          <w:sz w:val="24"/>
          <w:szCs w:val="24"/>
          <w:highlight w:val="none"/>
          <w:lang w:val="zh-CN" w:bidi="zh-CN"/>
        </w:rPr>
        <w:t>）</w:t>
      </w:r>
      <w:r>
        <w:rPr>
          <w:rFonts w:ascii="宋体" w:hAnsi="宋体" w:cs="宋体"/>
          <w:b/>
          <w:bCs/>
          <w:spacing w:val="-3"/>
          <w:sz w:val="24"/>
          <w:szCs w:val="24"/>
          <w:highlight w:val="none"/>
          <w:lang w:val="zh-CN" w:bidi="zh-CN"/>
        </w:rPr>
        <w:t>除以第一次报价后得出的优惠率视同为需求表中全部分项设备、工程</w:t>
      </w:r>
      <w:r>
        <w:rPr>
          <w:rFonts w:ascii="宋体" w:hAnsi="宋体" w:cs="宋体"/>
          <w:b/>
          <w:bCs/>
          <w:sz w:val="24"/>
          <w:szCs w:val="24"/>
          <w:highlight w:val="none"/>
          <w:lang w:val="zh-CN" w:bidi="zh-CN"/>
        </w:rPr>
        <w:t>量或服务的优惠浮动值（特定分项优惠除外</w:t>
      </w:r>
      <w:r>
        <w:rPr>
          <w:rFonts w:ascii="宋体" w:hAnsi="宋体" w:cs="宋体"/>
          <w:b/>
          <w:bCs/>
          <w:spacing w:val="-118"/>
          <w:sz w:val="24"/>
          <w:szCs w:val="24"/>
          <w:highlight w:val="none"/>
          <w:lang w:val="zh-CN" w:bidi="zh-CN"/>
        </w:rPr>
        <w:t>）</w:t>
      </w:r>
      <w:r>
        <w:rPr>
          <w:rFonts w:ascii="宋体" w:hAnsi="宋体" w:cs="宋体"/>
          <w:b/>
          <w:bCs/>
          <w:sz w:val="24"/>
          <w:szCs w:val="24"/>
          <w:highlight w:val="none"/>
          <w:lang w:val="zh-CN" w:bidi="zh-CN"/>
        </w:rPr>
        <w:t>，而不考虑措施项目清单和规费税</w:t>
      </w:r>
      <w:r>
        <w:rPr>
          <w:rFonts w:ascii="宋体" w:hAnsi="宋体" w:cs="宋体"/>
          <w:b/>
          <w:bCs/>
          <w:spacing w:val="-9"/>
          <w:sz w:val="24"/>
          <w:szCs w:val="24"/>
          <w:highlight w:val="none"/>
          <w:lang w:val="zh-CN" w:bidi="zh-CN"/>
        </w:rPr>
        <w:t>金清单的金额改变。此优惠率调整原则适用于合同内价格的计算及项目增减、变</w:t>
      </w:r>
      <w:r>
        <w:rPr>
          <w:rFonts w:ascii="宋体" w:hAnsi="宋体" w:cs="宋体"/>
          <w:b/>
          <w:bCs/>
          <w:sz w:val="24"/>
          <w:szCs w:val="24"/>
          <w:highlight w:val="none"/>
          <w:lang w:val="zh-CN" w:bidi="zh-CN"/>
        </w:rPr>
        <w:t>更时价格的计算。</w:t>
      </w:r>
    </w:p>
    <w:p w14:paraId="522E1E13">
      <w:pPr>
        <w:pStyle w:val="4"/>
        <w:spacing w:before="0" w:after="0" w:line="440" w:lineRule="exact"/>
        <w:ind w:firstLine="0"/>
        <w:outlineLvl w:val="9"/>
        <w:rPr>
          <w:rFonts w:hint="eastAsia" w:ascii="宋体" w:hAnsi="宋体" w:eastAsia="宋体" w:cs="宋体"/>
          <w:b w:val="0"/>
          <w:color w:val="000000"/>
          <w:sz w:val="21"/>
          <w:highlight w:val="none"/>
        </w:rPr>
        <w:sectPr>
          <w:footerReference r:id="rId7" w:type="first"/>
          <w:headerReference r:id="rId5" w:type="default"/>
          <w:footerReference r:id="rId6" w:type="default"/>
          <w:pgSz w:w="11906" w:h="16838"/>
          <w:pgMar w:top="1474" w:right="1134" w:bottom="1247" w:left="1247" w:header="851" w:footer="992" w:gutter="0"/>
          <w:pgNumType w:fmt="decimal" w:start="1"/>
          <w:cols w:space="720" w:num="1"/>
          <w:docGrid w:type="lines" w:linePitch="312" w:charSpace="0"/>
        </w:sectPr>
      </w:pPr>
    </w:p>
    <w:bookmarkEnd w:id="58"/>
    <w:bookmarkEnd w:id="59"/>
    <w:bookmarkEnd w:id="60"/>
    <w:p w14:paraId="29967240">
      <w:pPr>
        <w:autoSpaceDE w:val="0"/>
        <w:autoSpaceDN w:val="0"/>
        <w:spacing w:before="104"/>
        <w:ind w:left="1367" w:right="1506"/>
        <w:jc w:val="center"/>
        <w:outlineLvl w:val="1"/>
        <w:rPr>
          <w:rFonts w:hint="eastAsia" w:ascii="宋体" w:hAnsi="宋体" w:cs="宋体"/>
          <w:b/>
          <w:bCs/>
          <w:sz w:val="24"/>
          <w:szCs w:val="24"/>
          <w:highlight w:val="none"/>
          <w:lang w:bidi="zh-CN"/>
        </w:rPr>
      </w:pPr>
      <w:r>
        <w:rPr>
          <w:rFonts w:hint="eastAsia" w:ascii="宋体" w:hAnsi="宋体" w:cs="宋体"/>
          <w:b/>
          <w:bCs/>
          <w:sz w:val="24"/>
          <w:szCs w:val="24"/>
          <w:highlight w:val="none"/>
          <w:lang w:bidi="zh-CN"/>
        </w:rPr>
        <w:t>六、谈判文件要求提交的其他相关资料</w:t>
      </w:r>
    </w:p>
    <w:p w14:paraId="04EADF23">
      <w:pPr>
        <w:adjustRightInd w:val="0"/>
        <w:snapToGrid w:val="0"/>
        <w:spacing w:line="400" w:lineRule="exact"/>
        <w:jc w:val="center"/>
        <w:rPr>
          <w:rFonts w:hint="eastAsia" w:ascii="宋体" w:hAnsi="宋体" w:cs="宋体"/>
          <w:b/>
          <w:bCs/>
          <w:sz w:val="24"/>
          <w:szCs w:val="24"/>
          <w:highlight w:val="none"/>
          <w:lang w:bidi="zh-CN"/>
        </w:rPr>
      </w:pPr>
    </w:p>
    <w:p w14:paraId="2C75BDF8">
      <w:pPr>
        <w:adjustRightInd w:val="0"/>
        <w:snapToGrid w:val="0"/>
        <w:spacing w:line="400" w:lineRule="exact"/>
        <w:jc w:val="center"/>
        <w:rPr>
          <w:rFonts w:hint="eastAsia" w:ascii="宋体" w:hAnsi="宋体" w:cs="宋体"/>
          <w:b/>
          <w:bCs/>
          <w:sz w:val="24"/>
          <w:szCs w:val="24"/>
          <w:highlight w:val="none"/>
          <w:lang w:bidi="zh-CN"/>
        </w:rPr>
      </w:pPr>
      <w:r>
        <w:rPr>
          <w:rFonts w:hint="eastAsia" w:ascii="宋体" w:hAnsi="宋体" w:cs="宋体"/>
          <w:b/>
          <w:bCs/>
          <w:sz w:val="24"/>
          <w:szCs w:val="24"/>
          <w:highlight w:val="none"/>
          <w:lang w:bidi="zh-CN"/>
        </w:rPr>
        <w:t>（项目组人员情况表、有关服务承诺及供应商认为应当提交其他资料等）</w:t>
      </w:r>
      <w:bookmarkEnd w:id="54"/>
      <w:bookmarkEnd w:id="55"/>
    </w:p>
    <w:p w14:paraId="4ABC97A8">
      <w:pPr>
        <w:rPr>
          <w:highlight w:val="none"/>
        </w:rPr>
      </w:pPr>
    </w:p>
    <w:sectPr>
      <w:pgSz w:w="11906" w:h="16838"/>
      <w:pgMar w:top="1474" w:right="1134" w:bottom="1247" w:left="1247"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7A"/>
    <w:family w:val="swiss"/>
    <w:pitch w:val="default"/>
    <w:sig w:usb0="80000287" w:usb1="2ACF3C50" w:usb2="00000016" w:usb3="00000000" w:csb0="0004001F" w:csb1="00000000"/>
  </w:font>
  <w:font w:name="宋?">
    <w:altName w:val="宋体"/>
    <w:panose1 w:val="00000000000000000000"/>
    <w:charset w:val="81"/>
    <w:family w:val="roman"/>
    <w:pitch w:val="default"/>
    <w:sig w:usb0="00000000" w:usb1="00000000" w:usb2="00000010" w:usb3="00000000" w:csb0="00080000" w:csb1="00000000"/>
  </w:font>
  <w:font w:name="楷体_GB2312">
    <w:panose1 w:val="02010609030101010101"/>
    <w:charset w:val="86"/>
    <w:family w:val="modern"/>
    <w:pitch w:val="default"/>
    <w:sig w:usb0="00000001" w:usb1="080E0000" w:usb2="00000000" w:usb3="00000000" w:csb0="00040000" w:csb1="00000000"/>
  </w:font>
  <w:font w:name="Plotter">
    <w:altName w:val="Times New Roman"/>
    <w:panose1 w:val="00000000000000000000"/>
    <w:charset w:val="00"/>
    <w:family w:val="roman"/>
    <w:pitch w:val="default"/>
    <w:sig w:usb0="00000000" w:usb1="00000000" w:usb2="00000000" w:usb3="00000000" w:csb0="00000001" w:csb1="00000000"/>
  </w:font>
  <w:font w:name="Arial Black">
    <w:panose1 w:val="020B0A04020102020204"/>
    <w:charset w:val="00"/>
    <w:family w:val="swiss"/>
    <w:pitch w:val="default"/>
    <w:sig w:usb0="A00002AF" w:usb1="400078FB" w:usb2="00000000" w:usb3="00000000" w:csb0="6000009F" w:csb1="DFD70000"/>
  </w:font>
  <w:font w:name="华文彩云">
    <w:panose1 w:val="02010800040101010101"/>
    <w:charset w:val="86"/>
    <w:family w:val="auto"/>
    <w:pitch w:val="default"/>
    <w:sig w:usb0="00000001" w:usb1="080F0000" w:usb2="00000000" w:usb3="00000000" w:csb0="00040000" w:csb1="00000000"/>
  </w:font>
  <w:font w:name="DotumChe">
    <w:altName w:val="Malgun Gothic"/>
    <w:panose1 w:val="020B0609000001010101"/>
    <w:charset w:val="7F"/>
    <w:family w:val="modern"/>
    <w:pitch w:val="default"/>
    <w:sig w:usb0="00000000" w:usb1="00000000" w:usb2="00000030" w:usb3="00000000" w:csb0="000800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433ABE">
    <w:pPr>
      <w:pStyle w:val="13"/>
      <w:widowControl/>
      <w:ind w:firstLine="360"/>
      <w:textAlignment w:val="baseline"/>
      <w:rPr>
        <w:rStyle w:val="22"/>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92FCDC">
    <w:pPr>
      <w:pStyle w:val="13"/>
      <w:widowControl/>
      <w:ind w:firstLine="360"/>
      <w:textAlignment w:val="baseline"/>
      <w:rPr>
        <w:rStyle w:val="22"/>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1B69B">
    <w:pPr>
      <w:pStyle w:val="13"/>
      <w:widowControl/>
      <w:ind w:firstLine="360"/>
      <w:textAlignment w:val="baseline"/>
      <w:rPr>
        <w:rStyle w:val="22"/>
        <w:sz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741466">
                          <w:pPr>
                            <w:pStyle w:val="13"/>
                          </w:pPr>
                          <w:r>
                            <w:fldChar w:fldCharType="begin"/>
                          </w:r>
                          <w:r>
                            <w:instrText xml:space="preserve"> PAGE  \* MERGEFORMAT </w:instrText>
                          </w:r>
                          <w:r>
                            <w:fldChar w:fldCharType="separate"/>
                          </w:r>
                          <w:r>
                            <w:t>2</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14:paraId="49741466">
                    <w:pPr>
                      <w:pStyle w:val="13"/>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ABC9F">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0DE7CB">
                          <w:pPr>
                            <w:pStyle w:val="1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260DE7CB">
                    <w:pPr>
                      <w:pStyle w:val="13"/>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28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7BED2">
    <w:pPr>
      <w:pStyle w:val="1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NiYmRmNDdhZjY0ZjMyZjEyODNmNDgzNjAxNjAyYzYifQ=="/>
  </w:docVars>
  <w:rsids>
    <w:rsidRoot w:val="0D9D2668"/>
    <w:rsid w:val="0D9D2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imes New Roman" w:hAnsi="Times New Roman" w:eastAsia="宋体" w:cs="Times New Roman"/>
      <w:b/>
      <w:bCs/>
      <w:kern w:val="44"/>
      <w:sz w:val="30"/>
      <w:szCs w:val="44"/>
    </w:rPr>
  </w:style>
  <w:style w:type="paragraph" w:styleId="4">
    <w:name w:val="heading 2"/>
    <w:basedOn w:val="1"/>
    <w:next w:val="1"/>
    <w:qFormat/>
    <w:uiPriority w:val="0"/>
    <w:pPr>
      <w:keepNext/>
      <w:keepLines/>
      <w:spacing w:before="260" w:beforeLines="0" w:after="260" w:afterLines="0" w:line="415" w:lineRule="auto"/>
      <w:ind w:firstLine="628"/>
      <w:jc w:val="center"/>
      <w:outlineLvl w:val="1"/>
    </w:pPr>
    <w:rPr>
      <w:rFonts w:ascii="Arial" w:hAnsi="Arial" w:eastAsia="黑体" w:cs="Times New Roman"/>
      <w:b/>
      <w:bCs/>
      <w:kern w:val="0"/>
      <w:sz w:val="32"/>
      <w:szCs w:val="32"/>
    </w:rPr>
  </w:style>
  <w:style w:type="paragraph" w:styleId="5">
    <w:name w:val="heading 3"/>
    <w:basedOn w:val="1"/>
    <w:next w:val="1"/>
    <w:qFormat/>
    <w:uiPriority w:val="0"/>
    <w:pPr>
      <w:keepNext/>
      <w:keepLines/>
      <w:spacing w:before="260" w:beforeLines="0" w:after="260" w:afterLines="0" w:line="415" w:lineRule="auto"/>
      <w:jc w:val="center"/>
      <w:outlineLvl w:val="2"/>
    </w:pPr>
    <w:rPr>
      <w:rFonts w:ascii="宋体" w:hAnsi="Times New Roman" w:eastAsia="宋体" w:cs="宋体"/>
      <w:b/>
      <w:bCs/>
      <w:sz w:val="32"/>
      <w:szCs w:val="32"/>
    </w:rPr>
  </w:style>
  <w:style w:type="character" w:default="1" w:styleId="21">
    <w:name w:val="Default Paragraph Font"/>
    <w:semiHidden/>
    <w:uiPriority w:val="0"/>
  </w:style>
  <w:style w:type="table" w:default="1" w:styleId="20">
    <w:name w:val="Normal Table"/>
    <w:semiHidden/>
    <w:uiPriority w:val="0"/>
    <w:tblPr>
      <w:tblCellMar>
        <w:top w:w="0" w:type="dxa"/>
        <w:left w:w="108" w:type="dxa"/>
        <w:bottom w:w="0" w:type="dxa"/>
        <w:right w:w="108" w:type="dxa"/>
      </w:tblCellMar>
    </w:tblPr>
  </w:style>
  <w:style w:type="paragraph" w:styleId="2">
    <w:name w:val="Body Text 2"/>
    <w:basedOn w:val="1"/>
    <w:uiPriority w:val="0"/>
    <w:rPr>
      <w:rFonts w:ascii="仿宋_GB2312" w:hAnsi="Times New Roman" w:eastAsia="仿宋_GB2312" w:cs="Times New Roman"/>
      <w:b/>
      <w:sz w:val="24"/>
    </w:rPr>
  </w:style>
  <w:style w:type="paragraph" w:styleId="6">
    <w:name w:val="Normal Indent"/>
    <w:basedOn w:val="1"/>
    <w:uiPriority w:val="0"/>
    <w:pPr>
      <w:ind w:firstLine="420"/>
    </w:pPr>
    <w:rPr>
      <w:rFonts w:ascii="Calibri" w:hAnsi="Calibri" w:eastAsia="宋体" w:cs="Plotter"/>
      <w:sz w:val="24"/>
      <w:szCs w:val="24"/>
    </w:rPr>
  </w:style>
  <w:style w:type="paragraph" w:styleId="7">
    <w:name w:val="annotation text"/>
    <w:basedOn w:val="1"/>
    <w:qFormat/>
    <w:uiPriority w:val="0"/>
    <w:pPr>
      <w:jc w:val="left"/>
    </w:pPr>
    <w:rPr>
      <w:rFonts w:ascii="Times New Roman" w:hAnsi="Times New Roman" w:eastAsia="宋体" w:cs="Times New Roman"/>
    </w:rPr>
  </w:style>
  <w:style w:type="paragraph" w:styleId="8">
    <w:name w:val="Body Text"/>
    <w:basedOn w:val="1"/>
    <w:next w:val="9"/>
    <w:uiPriority w:val="0"/>
    <w:pPr>
      <w:spacing w:after="120" w:afterLines="0"/>
    </w:pPr>
    <w:rPr>
      <w:rFonts w:ascii="Times New Roman" w:hAnsi="Times New Roman" w:eastAsia="宋体" w:cs="Times New Roman"/>
    </w:rPr>
  </w:style>
  <w:style w:type="paragraph" w:customStyle="1" w:styleId="9">
    <w:name w:val="Default"/>
    <w:next w:val="10"/>
    <w:qFormat/>
    <w:uiPriority w:val="0"/>
    <w:pPr>
      <w:widowControl w:val="0"/>
      <w:autoSpaceDE w:val="0"/>
      <w:autoSpaceDN w:val="0"/>
      <w:adjustRightInd w:val="0"/>
    </w:pPr>
    <w:rPr>
      <w:rFonts w:ascii="仿宋_GB2312" w:hAnsi="仿宋_GB2312" w:eastAsia="微软雅黑" w:cs="仿宋_GB2312"/>
      <w:color w:val="000000"/>
      <w:sz w:val="24"/>
      <w:szCs w:val="24"/>
      <w:lang w:val="en-US" w:eastAsia="zh-CN" w:bidi="ar-SA"/>
    </w:rPr>
  </w:style>
  <w:style w:type="paragraph" w:customStyle="1" w:styleId="10">
    <w:name w:val="表格文字"/>
    <w:basedOn w:val="1"/>
    <w:uiPriority w:val="0"/>
    <w:pPr>
      <w:spacing w:line="360" w:lineRule="exact"/>
      <w:jc w:val="center"/>
    </w:pPr>
    <w:rPr>
      <w:rFonts w:ascii="Times New Roman" w:hAnsi="Times New Roman" w:eastAsia="宋体" w:cs="Times New Roman"/>
      <w:szCs w:val="20"/>
    </w:rPr>
  </w:style>
  <w:style w:type="paragraph" w:styleId="11">
    <w:name w:val="Body Text Indent"/>
    <w:basedOn w:val="1"/>
    <w:next w:val="12"/>
    <w:qFormat/>
    <w:uiPriority w:val="0"/>
    <w:pPr>
      <w:ind w:firstLine="645"/>
    </w:pPr>
    <w:rPr>
      <w:rFonts w:ascii="楷体_GB2312" w:hAnsi="Times New Roman" w:eastAsia="楷体_GB2312" w:cs="Times New Roman"/>
      <w:sz w:val="32"/>
    </w:rPr>
  </w:style>
  <w:style w:type="paragraph" w:styleId="12">
    <w:name w:val="envelope return"/>
    <w:basedOn w:val="1"/>
    <w:qFormat/>
    <w:uiPriority w:val="0"/>
    <w:pPr>
      <w:snapToGrid w:val="0"/>
    </w:pPr>
    <w:rPr>
      <w:rFonts w:ascii="Arial" w:hAnsi="Arial" w:eastAsia="宋体" w:cs="Times New Roman"/>
    </w:rPr>
  </w:style>
  <w:style w:type="paragraph" w:styleId="13">
    <w:name w:val="footer"/>
    <w:basedOn w:val="1"/>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14">
    <w:name w:val="header"/>
    <w:basedOn w:val="1"/>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rPr>
  </w:style>
  <w:style w:type="paragraph" w:styleId="15">
    <w:name w:val="toc 1"/>
    <w:basedOn w:val="1"/>
    <w:next w:val="1"/>
    <w:qFormat/>
    <w:uiPriority w:val="0"/>
    <w:rPr>
      <w:rFonts w:ascii="Times New Roman" w:hAnsi="Times New Roman" w:eastAsia="宋体" w:cs="Times New Roman"/>
    </w:rPr>
  </w:style>
  <w:style w:type="paragraph" w:styleId="16">
    <w:name w:val="toc 6"/>
    <w:basedOn w:val="1"/>
    <w:next w:val="1"/>
    <w:qFormat/>
    <w:uiPriority w:val="0"/>
    <w:pPr>
      <w:ind w:left="2100" w:leftChars="1000"/>
    </w:pPr>
    <w:rPr>
      <w:rFonts w:ascii="Times New Roman" w:hAnsi="Times New Roman" w:eastAsia="宋体" w:cs="Times New Roman"/>
    </w:rPr>
  </w:style>
  <w:style w:type="paragraph" w:styleId="17">
    <w:name w:val="Normal (Web)"/>
    <w:basedOn w:val="1"/>
    <w:qFormat/>
    <w:uiPriority w:val="0"/>
    <w:pPr>
      <w:widowControl/>
      <w:spacing w:before="100" w:beforeLines="0" w:beforeAutospacing="1" w:after="100" w:afterLines="0" w:afterAutospacing="1"/>
      <w:jc w:val="left"/>
    </w:pPr>
    <w:rPr>
      <w:rFonts w:ascii="宋体" w:hAnsi="宋体" w:eastAsia="宋体" w:cs="Times New Roman"/>
      <w:kern w:val="0"/>
      <w:sz w:val="24"/>
      <w:szCs w:val="24"/>
    </w:rPr>
  </w:style>
  <w:style w:type="paragraph" w:styleId="18">
    <w:name w:val="Body Text First Indent"/>
    <w:basedOn w:val="8"/>
    <w:next w:val="16"/>
    <w:uiPriority w:val="0"/>
    <w:pPr>
      <w:spacing w:line="400" w:lineRule="atLeast"/>
      <w:ind w:firstLine="426"/>
    </w:pPr>
    <w:rPr>
      <w:rFonts w:ascii="Times New Roman" w:hAnsi="Times New Roman" w:eastAsia="宋体" w:cs="Times New Roman"/>
      <w:sz w:val="24"/>
      <w:szCs w:val="20"/>
    </w:rPr>
  </w:style>
  <w:style w:type="paragraph" w:styleId="19">
    <w:name w:val="Body Text First Indent 2"/>
    <w:basedOn w:val="11"/>
    <w:next w:val="1"/>
    <w:qFormat/>
    <w:uiPriority w:val="0"/>
    <w:pPr>
      <w:ind w:left="420" w:firstLine="420" w:firstLineChars="200"/>
    </w:pPr>
    <w:rPr>
      <w:rFonts w:ascii="Times New Roman" w:hAnsi="Times New Roman" w:eastAsia="宋?" w:cs="Times New Roman"/>
    </w:rPr>
  </w:style>
  <w:style w:type="character" w:customStyle="1" w:styleId="22">
    <w:name w:val="NormalCharacter"/>
    <w:uiPriority w:val="0"/>
    <w:rPr>
      <w:rFonts w:ascii="Times New Roman" w:hAnsi="Times New Roman" w:eastAsia="宋体" w:cs="Times New Roman"/>
      <w:kern w:val="2"/>
      <w:sz w:val="21"/>
      <w:lang w:val="en-US" w:eastAsia="zh-CN" w:bidi="ar-SA"/>
    </w:rPr>
  </w:style>
  <w:style w:type="paragraph" w:customStyle="1" w:styleId="23">
    <w:name w:val="TOC1"/>
    <w:basedOn w:val="1"/>
    <w:next w:val="1"/>
    <w:uiPriority w:val="0"/>
    <w:pPr>
      <w:spacing w:before="120" w:after="120" w:line="360" w:lineRule="auto"/>
      <w:ind w:left="200" w:hanging="200" w:hangingChars="200"/>
      <w:jc w:val="left"/>
      <w:textAlignment w:val="baseline"/>
    </w:pPr>
    <w:rPr>
      <w:rFonts w:ascii="宋体" w:hAnsi="宋体" w:eastAsia="宋体" w:cs="宋体"/>
      <w:bCs/>
      <w:caps/>
      <w:sz w:val="20"/>
      <w:lang w:val="en-US" w:eastAsia="zh-CN" w:bidi="ar-SA"/>
    </w:rPr>
  </w:style>
  <w:style w:type="paragraph" w:customStyle="1" w:styleId="24">
    <w:name w:val="BodyText"/>
    <w:basedOn w:val="1"/>
    <w:uiPriority w:val="0"/>
    <w:pPr>
      <w:spacing w:after="120" w:line="300" w:lineRule="auto"/>
      <w:ind w:firstLine="200" w:firstLineChars="200"/>
      <w:jc w:val="both"/>
      <w:textAlignment w:val="baseline"/>
    </w:pPr>
    <w:rPr>
      <w:rFonts w:ascii="Times New Roman" w:hAnsi="Times New Roman" w:eastAsia="宋体" w:cs="Times New Roman"/>
      <w:kern w:val="2"/>
      <w:sz w:val="22"/>
      <w:szCs w:val="24"/>
      <w:lang w:val="en-US" w:eastAsia="zh-CN" w:bidi="ar-SA"/>
    </w:rPr>
  </w:style>
  <w:style w:type="paragraph" w:customStyle="1" w:styleId="25">
    <w:name w:val="p0"/>
    <w:basedOn w:val="1"/>
    <w:qFormat/>
    <w:uiPriority w:val="0"/>
    <w:pPr>
      <w:widowControl/>
    </w:pPr>
    <w:rPr>
      <w:rFonts w:ascii="Times New Roman" w:hAnsi="Times New Roman" w:eastAsia="宋体" w:cs="Times New Roman"/>
      <w:kern w:val="0"/>
      <w:szCs w:val="21"/>
    </w:rPr>
  </w:style>
  <w:style w:type="paragraph" w:customStyle="1" w:styleId="26">
    <w:name w:val="D&amp;L"/>
    <w:basedOn w:val="14"/>
    <w:qFormat/>
    <w:uiPriority w:val="0"/>
    <w:pPr>
      <w:pBdr>
        <w:bottom w:val="thinThickSmallGap" w:color="auto" w:sz="18" w:space="1"/>
      </w:pBdr>
      <w:adjustRightInd w:val="0"/>
      <w:snapToGrid/>
      <w:spacing w:line="240" w:lineRule="atLeast"/>
      <w:textAlignment w:val="baseline"/>
    </w:pPr>
    <w:rPr>
      <w:rFonts w:ascii="Times New Roman" w:hAnsi="Times New Roman" w:eastAsia="宋体" w:cs="Times New Roman"/>
      <w:kern w:val="0"/>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8</TotalTime>
  <ScaleCrop>false</ScaleCrop>
  <LinksUpToDate>false</LinksUpToDate>
  <CharactersWithSpaces>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2024-07-23T03:22:00Z</dcterms:created>
  <dc:creator>Administrator</dc:creator>
  <cp:lastModifiedBy>Administrator</cp:lastModifiedBy>
  <dcterms:modified xsi:type="dcterms:W3CDTF">2024-07-23T03:30:34Z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BD41B3EE4FFC475A93C4E149F3776F5E_11</vt:lpwstr>
  </property>
</Properties>
</file>