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33B47">
      <w:pPr>
        <w:keepNext w:val="0"/>
        <w:keepLines w:val="0"/>
        <w:pageBreakBefore w:val="0"/>
        <w:widowControl w:val="0"/>
        <w:tabs>
          <w:tab w:val="left" w:pos="420"/>
        </w:tabs>
        <w:kinsoku/>
        <w:wordWrap/>
        <w:overflowPunct/>
        <w:topLinePunct w:val="0"/>
        <w:autoSpaceDE/>
        <w:autoSpaceDN/>
        <w:bidi w:val="0"/>
        <w:adjustRightInd/>
        <w:snapToGrid/>
        <w:spacing w:before="498" w:beforeLines="150" w:line="360" w:lineRule="auto"/>
        <w:jc w:val="center"/>
        <w:textAlignment w:val="auto"/>
        <w:outlineLvl w:val="9"/>
        <w:rPr>
          <w:rFonts w:hint="eastAsia" w:ascii="宋体" w:hAnsi="宋体"/>
          <w:b/>
          <w:bCs/>
          <w:sz w:val="36"/>
          <w:szCs w:val="36"/>
          <w:highlight w:val="none"/>
          <w:lang w:eastAsia="zh-CN"/>
        </w:rPr>
      </w:pPr>
      <w:r>
        <w:rPr>
          <w:rFonts w:hint="eastAsia" w:ascii="宋体" w:hAnsi="宋体"/>
          <w:b/>
          <w:bCs/>
          <w:sz w:val="36"/>
          <w:szCs w:val="36"/>
          <w:highlight w:val="none"/>
          <w:lang w:eastAsia="zh-CN"/>
        </w:rPr>
        <w:t>霍山县城关小学食堂劳务派遣项目</w:t>
      </w:r>
    </w:p>
    <w:p w14:paraId="0BB6C5F4">
      <w:pPr>
        <w:keepNext w:val="0"/>
        <w:keepLines w:val="0"/>
        <w:pageBreakBefore w:val="0"/>
        <w:widowControl w:val="0"/>
        <w:tabs>
          <w:tab w:val="left" w:pos="420"/>
        </w:tabs>
        <w:kinsoku/>
        <w:wordWrap/>
        <w:overflowPunct/>
        <w:topLinePunct w:val="0"/>
        <w:autoSpaceDE/>
        <w:autoSpaceDN/>
        <w:bidi w:val="0"/>
        <w:adjustRightInd/>
        <w:snapToGrid/>
        <w:spacing w:before="498" w:beforeLines="150" w:line="360" w:lineRule="auto"/>
        <w:jc w:val="center"/>
        <w:textAlignment w:val="auto"/>
        <w:outlineLvl w:val="9"/>
        <w:rPr>
          <w:rFonts w:hint="default" w:ascii="宋体" w:hAnsi="宋体"/>
          <w:b/>
          <w:bCs/>
          <w:sz w:val="36"/>
          <w:szCs w:val="36"/>
          <w:highlight w:val="none"/>
          <w:lang w:eastAsia="zh-CN"/>
        </w:rPr>
      </w:pPr>
    </w:p>
    <w:p w14:paraId="7C2409C2">
      <w:pPr>
        <w:tabs>
          <w:tab w:val="left" w:pos="420"/>
        </w:tabs>
        <w:spacing w:before="498" w:beforeLines="150" w:line="200" w:lineRule="exact"/>
        <w:jc w:val="center"/>
        <w:outlineLvl w:val="9"/>
        <w:rPr>
          <w:rFonts w:hint="eastAsia" w:ascii="宋体" w:hAnsi="宋体"/>
          <w:b/>
          <w:bCs/>
          <w:sz w:val="52"/>
          <w:szCs w:val="52"/>
          <w:highlight w:val="none"/>
        </w:rPr>
      </w:pPr>
    </w:p>
    <w:p w14:paraId="568E6DB8">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竞</w:t>
      </w:r>
    </w:p>
    <w:p w14:paraId="03838C69">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争</w:t>
      </w:r>
    </w:p>
    <w:p w14:paraId="736CF620">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性</w:t>
      </w:r>
    </w:p>
    <w:p w14:paraId="103754FC">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磋</w:t>
      </w:r>
    </w:p>
    <w:p w14:paraId="639A118C">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商</w:t>
      </w:r>
    </w:p>
    <w:p w14:paraId="7BFAD376">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文</w:t>
      </w:r>
    </w:p>
    <w:p w14:paraId="393CDA26">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件</w:t>
      </w:r>
    </w:p>
    <w:p w14:paraId="28BCEE31">
      <w:pPr>
        <w:keepNext w:val="0"/>
        <w:keepLines w:val="0"/>
        <w:pageBreakBefore w:val="0"/>
        <w:widowControl w:val="0"/>
        <w:tabs>
          <w:tab w:val="left" w:pos="2410"/>
        </w:tabs>
        <w:kinsoku/>
        <w:wordWrap/>
        <w:overflowPunct/>
        <w:topLinePunct w:val="0"/>
        <w:autoSpaceDE w:val="0"/>
        <w:autoSpaceDN w:val="0"/>
        <w:bidi w:val="0"/>
        <w:adjustRightInd w:val="0"/>
        <w:snapToGrid w:val="0"/>
        <w:spacing w:line="240" w:lineRule="auto"/>
        <w:jc w:val="center"/>
        <w:textAlignment w:val="auto"/>
        <w:outlineLvl w:val="9"/>
        <w:rPr>
          <w:rFonts w:ascii="宋体" w:hAnsi="DotumChe" w:cs="宋体"/>
          <w:b/>
          <w:spacing w:val="20"/>
          <w:kern w:val="0"/>
          <w:sz w:val="32"/>
          <w:szCs w:val="32"/>
          <w:highlight w:val="none"/>
        </w:rPr>
      </w:pPr>
      <w:r>
        <w:rPr>
          <w:rFonts w:hint="eastAsia" w:ascii="仿宋_GB2312" w:eastAsia="仿宋_GB2312"/>
          <w:b w:val="0"/>
          <w:bCs/>
          <w:sz w:val="28"/>
          <w:szCs w:val="28"/>
          <w:highlight w:val="none"/>
        </w:rPr>
        <w:t>（服务类）</w:t>
      </w:r>
    </w:p>
    <w:p w14:paraId="0880D043">
      <w:pPr>
        <w:pStyle w:val="33"/>
        <w:ind w:left="0" w:leftChars="0" w:firstLine="0" w:firstLineChars="0"/>
        <w:outlineLvl w:val="9"/>
        <w:rPr>
          <w:rFonts w:hint="eastAsia"/>
          <w:highlight w:val="none"/>
        </w:rPr>
      </w:pPr>
    </w:p>
    <w:p w14:paraId="2E1EDA89">
      <w:pPr>
        <w:tabs>
          <w:tab w:val="left" w:pos="2410"/>
        </w:tabs>
        <w:autoSpaceDE w:val="0"/>
        <w:autoSpaceDN w:val="0"/>
        <w:adjustRightInd w:val="0"/>
        <w:snapToGrid w:val="0"/>
        <w:spacing w:line="600" w:lineRule="exact"/>
        <w:ind w:left="1050" w:leftChars="500"/>
        <w:jc w:val="left"/>
        <w:outlineLvl w:val="9"/>
        <w:rPr>
          <w:rFonts w:hint="eastAsia" w:ascii="宋体" w:hAnsi="DotumChe" w:cs="宋体"/>
          <w:b/>
          <w:spacing w:val="11"/>
          <w:kern w:val="0"/>
          <w:sz w:val="28"/>
          <w:szCs w:val="28"/>
          <w:highlight w:val="none"/>
        </w:rPr>
      </w:pPr>
    </w:p>
    <w:p w14:paraId="6D8AAACB">
      <w:pPr>
        <w:tabs>
          <w:tab w:val="left" w:pos="2410"/>
        </w:tabs>
        <w:autoSpaceDE w:val="0"/>
        <w:autoSpaceDN w:val="0"/>
        <w:adjustRightInd w:val="0"/>
        <w:snapToGrid w:val="0"/>
        <w:spacing w:line="600" w:lineRule="exact"/>
        <w:ind w:left="1050" w:leftChars="500"/>
        <w:jc w:val="left"/>
        <w:outlineLvl w:val="9"/>
        <w:rPr>
          <w:rFonts w:hint="default" w:ascii="宋体" w:hAnsi="DotumChe" w:cs="宋体"/>
          <w:b/>
          <w:spacing w:val="11"/>
          <w:kern w:val="0"/>
          <w:sz w:val="28"/>
          <w:szCs w:val="28"/>
          <w:highlight w:val="none"/>
        </w:rPr>
      </w:pPr>
      <w:r>
        <w:rPr>
          <w:rFonts w:hint="eastAsia" w:ascii="宋体" w:hAnsi="DotumChe" w:cs="宋体"/>
          <w:b/>
          <w:spacing w:val="11"/>
          <w:kern w:val="0"/>
          <w:sz w:val="28"/>
          <w:szCs w:val="28"/>
          <w:highlight w:val="none"/>
        </w:rPr>
        <w:t>项目名称：</w:t>
      </w:r>
      <w:r>
        <w:rPr>
          <w:rFonts w:hint="eastAsia" w:ascii="宋体" w:hAnsi="DotumChe" w:cs="宋体"/>
          <w:b/>
          <w:spacing w:val="11"/>
          <w:kern w:val="0"/>
          <w:sz w:val="28"/>
          <w:szCs w:val="28"/>
          <w:highlight w:val="none"/>
          <w:lang w:eastAsia="zh-CN"/>
        </w:rPr>
        <w:t>霍山县城关小学食堂劳务派遣项目</w:t>
      </w:r>
    </w:p>
    <w:p w14:paraId="31AB83E2">
      <w:pPr>
        <w:tabs>
          <w:tab w:val="left" w:pos="2410"/>
        </w:tabs>
        <w:autoSpaceDE w:val="0"/>
        <w:autoSpaceDN w:val="0"/>
        <w:adjustRightInd w:val="0"/>
        <w:snapToGrid w:val="0"/>
        <w:spacing w:line="600" w:lineRule="exact"/>
        <w:ind w:left="1050" w:leftChars="500"/>
        <w:jc w:val="left"/>
        <w:outlineLvl w:val="9"/>
        <w:rPr>
          <w:rFonts w:hint="default" w:ascii="宋体" w:hAnsi="DotumChe" w:cs="宋体"/>
          <w:b/>
          <w:spacing w:val="11"/>
          <w:kern w:val="0"/>
          <w:sz w:val="28"/>
          <w:szCs w:val="28"/>
          <w:highlight w:val="none"/>
          <w:lang w:val="en-US"/>
        </w:rPr>
      </w:pPr>
      <w:r>
        <w:rPr>
          <w:rFonts w:hint="eastAsia" w:ascii="宋体" w:hAnsi="DotumChe" w:cs="宋体"/>
          <w:b/>
          <w:spacing w:val="11"/>
          <w:kern w:val="0"/>
          <w:sz w:val="28"/>
          <w:szCs w:val="28"/>
          <w:highlight w:val="none"/>
        </w:rPr>
        <w:t>项目编号：</w:t>
      </w:r>
      <w:r>
        <w:rPr>
          <w:rFonts w:hint="eastAsia" w:ascii="宋体" w:hAnsi="DotumChe" w:cs="宋体"/>
          <w:b/>
          <w:spacing w:val="11"/>
          <w:kern w:val="0"/>
          <w:sz w:val="28"/>
          <w:szCs w:val="28"/>
          <w:highlight w:val="none"/>
          <w:lang w:eastAsia="zh-CN"/>
        </w:rPr>
        <w:t>DBSCG-2024-111</w:t>
      </w:r>
    </w:p>
    <w:p w14:paraId="3FA0D995">
      <w:pPr>
        <w:tabs>
          <w:tab w:val="left" w:pos="2410"/>
        </w:tabs>
        <w:autoSpaceDE w:val="0"/>
        <w:autoSpaceDN w:val="0"/>
        <w:adjustRightInd w:val="0"/>
        <w:snapToGrid w:val="0"/>
        <w:spacing w:line="600" w:lineRule="exact"/>
        <w:ind w:left="1050" w:leftChars="500"/>
        <w:jc w:val="left"/>
        <w:outlineLvl w:val="9"/>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采 购 人：</w:t>
      </w:r>
      <w:r>
        <w:rPr>
          <w:rFonts w:hint="eastAsia" w:ascii="宋体" w:hAnsi="DotumChe" w:cs="宋体"/>
          <w:b/>
          <w:spacing w:val="11"/>
          <w:kern w:val="0"/>
          <w:sz w:val="28"/>
          <w:szCs w:val="28"/>
          <w:highlight w:val="none"/>
          <w:lang w:val="en-US" w:eastAsia="zh-CN"/>
        </w:rPr>
        <w:t>霍山县衡山镇城关中心学校</w:t>
      </w:r>
    </w:p>
    <w:p w14:paraId="190D34E7">
      <w:pPr>
        <w:tabs>
          <w:tab w:val="left" w:pos="2410"/>
        </w:tabs>
        <w:autoSpaceDE w:val="0"/>
        <w:autoSpaceDN w:val="0"/>
        <w:adjustRightInd w:val="0"/>
        <w:snapToGrid w:val="0"/>
        <w:spacing w:line="600" w:lineRule="exact"/>
        <w:ind w:left="1050" w:leftChars="500"/>
        <w:jc w:val="left"/>
        <w:outlineLvl w:val="9"/>
        <w:rPr>
          <w:rFonts w:hint="eastAsia" w:ascii="宋体" w:hAnsi="DotumChe" w:eastAsia="宋体" w:cs="宋体"/>
          <w:b/>
          <w:spacing w:val="11"/>
          <w:kern w:val="0"/>
          <w:sz w:val="28"/>
          <w:szCs w:val="28"/>
          <w:highlight w:val="none"/>
          <w:lang w:eastAsia="zh-CN"/>
        </w:rPr>
      </w:pPr>
      <w:r>
        <w:rPr>
          <w:rFonts w:hint="eastAsia" w:ascii="宋体" w:hAnsi="DotumChe" w:cs="宋体"/>
          <w:b/>
          <w:spacing w:val="11"/>
          <w:kern w:val="0"/>
          <w:sz w:val="28"/>
          <w:szCs w:val="28"/>
          <w:highlight w:val="none"/>
        </w:rPr>
        <w:t>采购代理机构：</w:t>
      </w:r>
      <w:r>
        <w:rPr>
          <w:rFonts w:hint="eastAsia" w:ascii="宋体" w:hAnsi="DotumChe" w:cs="宋体"/>
          <w:b/>
          <w:spacing w:val="11"/>
          <w:kern w:val="0"/>
          <w:sz w:val="28"/>
          <w:szCs w:val="28"/>
          <w:highlight w:val="none"/>
          <w:lang w:eastAsia="zh-CN"/>
        </w:rPr>
        <w:t>安徽大别山工程咨询有限公司</w:t>
      </w:r>
    </w:p>
    <w:p w14:paraId="223A267E">
      <w:pPr>
        <w:tabs>
          <w:tab w:val="left" w:pos="2410"/>
        </w:tabs>
        <w:autoSpaceDE w:val="0"/>
        <w:autoSpaceDN w:val="0"/>
        <w:adjustRightInd w:val="0"/>
        <w:snapToGrid w:val="0"/>
        <w:spacing w:line="600" w:lineRule="exact"/>
        <w:ind w:left="1050" w:leftChars="500"/>
        <w:jc w:val="left"/>
        <w:outlineLvl w:val="9"/>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采购时间：202</w:t>
      </w:r>
      <w:r>
        <w:rPr>
          <w:rFonts w:hint="eastAsia" w:ascii="宋体" w:hAnsi="DotumChe" w:cs="宋体"/>
          <w:b/>
          <w:spacing w:val="11"/>
          <w:kern w:val="0"/>
          <w:sz w:val="28"/>
          <w:szCs w:val="28"/>
          <w:highlight w:val="none"/>
          <w:lang w:val="en-US" w:eastAsia="zh-CN"/>
        </w:rPr>
        <w:t>4</w:t>
      </w:r>
      <w:r>
        <w:rPr>
          <w:rFonts w:hint="eastAsia" w:ascii="宋体" w:hAnsi="DotumChe" w:cs="宋体"/>
          <w:b/>
          <w:spacing w:val="11"/>
          <w:kern w:val="0"/>
          <w:sz w:val="28"/>
          <w:szCs w:val="28"/>
          <w:highlight w:val="none"/>
        </w:rPr>
        <w:t>年</w:t>
      </w:r>
      <w:r>
        <w:rPr>
          <w:rFonts w:hint="eastAsia" w:ascii="宋体" w:hAnsi="DotumChe" w:cs="宋体"/>
          <w:b/>
          <w:spacing w:val="11"/>
          <w:kern w:val="0"/>
          <w:sz w:val="28"/>
          <w:szCs w:val="28"/>
          <w:highlight w:val="none"/>
          <w:lang w:val="en-US" w:eastAsia="zh-CN"/>
        </w:rPr>
        <w:t>8</w:t>
      </w:r>
      <w:r>
        <w:rPr>
          <w:rFonts w:hint="eastAsia" w:ascii="宋体" w:hAnsi="DotumChe" w:cs="宋体"/>
          <w:b/>
          <w:spacing w:val="11"/>
          <w:kern w:val="0"/>
          <w:sz w:val="28"/>
          <w:szCs w:val="28"/>
          <w:highlight w:val="none"/>
        </w:rPr>
        <w:t>月</w:t>
      </w:r>
    </w:p>
    <w:p w14:paraId="63E0C343">
      <w:pPr>
        <w:jc w:val="both"/>
        <w:rPr>
          <w:b/>
          <w:sz w:val="28"/>
          <w:szCs w:val="28"/>
          <w:highlight w:val="none"/>
        </w:rPr>
      </w:pPr>
      <w:r>
        <w:rPr>
          <w:rFonts w:hint="eastAsia"/>
          <w:b/>
          <w:sz w:val="28"/>
          <w:szCs w:val="28"/>
          <w:highlight w:val="none"/>
        </w:rPr>
        <w:br w:type="page"/>
      </w:r>
    </w:p>
    <w:sdt>
      <w:sdtPr>
        <w:rPr>
          <w:rFonts w:ascii="宋体" w:hAnsi="宋体" w:eastAsia="宋体" w:cs="Times New Roman"/>
          <w:kern w:val="2"/>
          <w:sz w:val="21"/>
          <w:highlight w:val="none"/>
          <w:lang w:val="en-US" w:eastAsia="zh-CN" w:bidi="ar-SA"/>
        </w:rPr>
        <w:id w:val="147460497"/>
        <w15:color w:val="DBDBDB"/>
        <w:docPartObj>
          <w:docPartGallery w:val="Table of Contents"/>
          <w:docPartUnique/>
        </w:docPartObj>
      </w:sdtPr>
      <w:sdtEndPr>
        <w:rPr>
          <w:rFonts w:ascii="宋体" w:hAnsi="宋体" w:eastAsia="宋体" w:cs="Times New Roman"/>
          <w:kern w:val="2"/>
          <w:sz w:val="21"/>
          <w:highlight w:val="none"/>
          <w:lang w:val="en-US" w:eastAsia="zh-CN" w:bidi="ar-SA"/>
        </w:rPr>
      </w:sdtEndPr>
      <w:sdtContent>
        <w:p w14:paraId="490F1A17">
          <w:pPr>
            <w:spacing w:before="0" w:beforeLines="0" w:after="0" w:afterLines="0" w:line="240" w:lineRule="auto"/>
            <w:ind w:left="0" w:leftChars="0" w:right="0" w:rightChars="0" w:firstLine="0" w:firstLineChars="0"/>
            <w:jc w:val="center"/>
            <w:rPr>
              <w:b/>
              <w:bCs/>
              <w:sz w:val="32"/>
              <w:szCs w:val="32"/>
              <w:highlight w:val="none"/>
            </w:rPr>
          </w:pPr>
          <w:r>
            <w:rPr>
              <w:rFonts w:ascii="宋体" w:hAnsi="宋体" w:eastAsia="宋体"/>
              <w:b/>
              <w:bCs/>
              <w:sz w:val="32"/>
              <w:szCs w:val="32"/>
              <w:highlight w:val="none"/>
            </w:rPr>
            <w:t>目</w:t>
          </w:r>
          <w:r>
            <w:rPr>
              <w:rFonts w:hint="eastAsia" w:ascii="宋体" w:hAnsi="宋体" w:eastAsia="宋体"/>
              <w:b/>
              <w:bCs/>
              <w:sz w:val="32"/>
              <w:szCs w:val="32"/>
              <w:highlight w:val="none"/>
              <w:lang w:val="en-US" w:eastAsia="zh-CN"/>
            </w:rPr>
            <w:t xml:space="preserve">  </w:t>
          </w:r>
          <w:r>
            <w:rPr>
              <w:rFonts w:ascii="宋体" w:hAnsi="宋体" w:eastAsia="宋体"/>
              <w:b/>
              <w:bCs/>
              <w:sz w:val="32"/>
              <w:szCs w:val="32"/>
              <w:highlight w:val="none"/>
            </w:rPr>
            <w:t>录</w:t>
          </w:r>
        </w:p>
        <w:p w14:paraId="02EB6A00">
          <w:pPr>
            <w:pStyle w:val="22"/>
            <w:tabs>
              <w:tab w:val="right" w:leader="dot" w:pos="8844"/>
            </w:tabs>
            <w:rPr>
              <w:rFonts w:hint="eastAsia" w:asciiTheme="minorEastAsia" w:hAnsiTheme="minorEastAsia" w:eastAsiaTheme="minorEastAsia" w:cstheme="minorEastAsia"/>
              <w:b w:val="0"/>
              <w:bCs w:val="0"/>
              <w:sz w:val="28"/>
              <w:szCs w:val="28"/>
              <w:highlight w:val="none"/>
            </w:rPr>
          </w:pPr>
          <w:r>
            <w:rPr>
              <w:highlight w:val="none"/>
            </w:rPr>
            <w:fldChar w:fldCharType="begin"/>
          </w:r>
          <w:r>
            <w:rPr>
              <w:highlight w:val="none"/>
            </w:rPr>
            <w:instrText xml:space="preserve">TOC \o "1-1" \h \u </w:instrText>
          </w:r>
          <w:r>
            <w:rPr>
              <w:highlight w:val="none"/>
            </w:rPr>
            <w:fldChar w:fldCharType="separate"/>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_Toc549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竞争性磋商采购公告</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_Toc549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1</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56D1D4FB">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_Toc15791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一、供应商须知</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_Toc15791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4</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530D8294">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_Toc27341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二、采购合同</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_Toc27341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13</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4BE3526C">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_Toc15847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lang w:val="en-US" w:eastAsia="zh-CN" w:bidi="ar-SA"/>
            </w:rPr>
            <w:t>三、</w:t>
          </w:r>
          <w:r>
            <w:rPr>
              <w:rFonts w:hint="eastAsia" w:asciiTheme="minorEastAsia" w:hAnsiTheme="minorEastAsia" w:eastAsiaTheme="minorEastAsia" w:cstheme="minorEastAsia"/>
              <w:b w:val="0"/>
              <w:bCs w:val="0"/>
              <w:sz w:val="28"/>
              <w:szCs w:val="28"/>
              <w:highlight w:val="none"/>
            </w:rPr>
            <w:t>采购需求</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_Toc15847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20</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7129E76E">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_Toc22919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四、评分标准</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_Toc22919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20</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390C8F0D">
          <w:pPr>
            <w:pStyle w:val="22"/>
            <w:tabs>
              <w:tab w:val="right" w:leader="dot" w:pos="8844"/>
            </w:tabs>
            <w:rPr>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_Toc21797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五、响应文件格式</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_Toc21797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29</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07D23903">
          <w:pPr>
            <w:rPr>
              <w:highlight w:val="none"/>
            </w:rPr>
          </w:pPr>
          <w:r>
            <w:rPr>
              <w:highlight w:val="none"/>
            </w:rPr>
            <w:fldChar w:fldCharType="end"/>
          </w:r>
        </w:p>
      </w:sdtContent>
    </w:sdt>
    <w:p w14:paraId="10460C3A">
      <w:pPr>
        <w:rPr>
          <w:highlight w:val="none"/>
        </w:rPr>
      </w:pPr>
    </w:p>
    <w:p w14:paraId="06B6ACA0">
      <w:pPr>
        <w:pStyle w:val="2"/>
        <w:spacing w:before="120" w:beforeLines="50" w:after="120" w:afterLines="50" w:line="520" w:lineRule="exact"/>
        <w:jc w:val="center"/>
        <w:outlineLvl w:val="0"/>
        <w:rPr>
          <w:rFonts w:hint="eastAsia" w:ascii="华文中宋" w:hAnsi="华文中宋" w:eastAsia="华文中宋" w:cs="华文中宋"/>
          <w:b w:val="0"/>
          <w:bCs/>
          <w:sz w:val="44"/>
          <w:szCs w:val="44"/>
          <w:highlight w:val="none"/>
          <w:lang w:eastAsia="zh-CN"/>
        </w:rPr>
        <w:sectPr>
          <w:headerReference r:id="rId3" w:type="default"/>
          <w:headerReference r:id="rId4" w:type="even"/>
          <w:footerReference r:id="rId5" w:type="even"/>
          <w:pgSz w:w="11906" w:h="16838"/>
          <w:pgMar w:top="1440" w:right="1531" w:bottom="1440" w:left="1531" w:header="851" w:footer="992" w:gutter="0"/>
          <w:cols w:space="425" w:num="1"/>
          <w:docGrid w:type="lines" w:linePitch="312" w:charSpace="0"/>
        </w:sectPr>
      </w:pPr>
      <w:bookmarkStart w:id="0" w:name="_Toc30186"/>
      <w:bookmarkStart w:id="1" w:name="_Toc549"/>
      <w:bookmarkStart w:id="2" w:name="_Toc1863"/>
    </w:p>
    <w:p w14:paraId="5E93D57B">
      <w:pPr>
        <w:pStyle w:val="2"/>
        <w:spacing w:before="120" w:beforeLines="50" w:after="120" w:afterLines="50" w:line="520" w:lineRule="exact"/>
        <w:jc w:val="center"/>
        <w:outlineLvl w:val="0"/>
        <w:rPr>
          <w:rFonts w:hint="eastAsia" w:ascii="华文中宋" w:hAnsi="华文中宋" w:eastAsia="华文中宋" w:cs="华文中宋"/>
          <w:b w:val="0"/>
          <w:bCs/>
          <w:sz w:val="44"/>
          <w:szCs w:val="44"/>
          <w:highlight w:val="none"/>
        </w:rPr>
      </w:pPr>
      <w:r>
        <w:rPr>
          <w:rFonts w:hint="eastAsia" w:ascii="华文中宋" w:hAnsi="华文中宋" w:eastAsia="华文中宋" w:cs="华文中宋"/>
          <w:b w:val="0"/>
          <w:bCs/>
          <w:sz w:val="44"/>
          <w:szCs w:val="44"/>
          <w:highlight w:val="none"/>
          <w:lang w:eastAsia="zh-CN"/>
        </w:rPr>
        <w:t>霍山县城关小学食堂劳务派遣项目</w:t>
      </w:r>
      <w:r>
        <w:rPr>
          <w:rFonts w:hint="eastAsia" w:ascii="华文中宋" w:hAnsi="华文中宋" w:eastAsia="华文中宋" w:cs="华文中宋"/>
          <w:b w:val="0"/>
          <w:bCs/>
          <w:sz w:val="44"/>
          <w:szCs w:val="44"/>
          <w:highlight w:val="none"/>
        </w:rPr>
        <w:t>竞争性磋商采购公告</w:t>
      </w:r>
      <w:bookmarkEnd w:id="0"/>
      <w:bookmarkEnd w:id="1"/>
      <w:bookmarkEnd w:id="2"/>
    </w:p>
    <w:p w14:paraId="118D2290">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项目概况：</w:t>
      </w:r>
      <w:r>
        <w:rPr>
          <w:rFonts w:hint="eastAsia" w:ascii="仿宋" w:hAnsi="仿宋" w:eastAsia="仿宋" w:cs="仿宋"/>
          <w:sz w:val="28"/>
          <w:szCs w:val="28"/>
          <w:highlight w:val="none"/>
          <w:u w:val="single"/>
          <w:lang w:eastAsia="zh-CN"/>
        </w:rPr>
        <w:t>霍山县城关小学食堂劳务派遣项目</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u w:val="single"/>
          <w:lang w:val="en-US" w:eastAsia="zh-CN"/>
        </w:rPr>
        <w:t>DBSCG-2024-111</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rPr>
        <w:t>的潜在供应商应在</w:t>
      </w:r>
      <w:r>
        <w:rPr>
          <w:rFonts w:hint="eastAsia" w:ascii="仿宋" w:hAnsi="仿宋" w:eastAsia="仿宋" w:cs="仿宋"/>
          <w:sz w:val="28"/>
          <w:szCs w:val="28"/>
          <w:highlight w:val="none"/>
          <w:lang w:val="en-US" w:eastAsia="zh-CN"/>
        </w:rPr>
        <w:t>安徽霍山国有资产投资控股集团有限公司（http：//ahdmig.cn/）</w:t>
      </w:r>
      <w:r>
        <w:rPr>
          <w:rFonts w:hint="eastAsia"/>
          <w:highlight w:val="none"/>
        </w:rPr>
        <w:fldChar w:fldCharType="begin"/>
      </w:r>
      <w:r>
        <w:rPr>
          <w:rFonts w:hint="eastAsia" w:ascii="仿宋" w:hAnsi="仿宋" w:eastAsia="仿宋" w:cs="仿宋"/>
          <w:sz w:val="28"/>
          <w:szCs w:val="28"/>
          <w:highlight w:val="none"/>
        </w:rPr>
        <w:instrText xml:space="preserve"> HYPERLINK "http://ggzy.luan.gov.cn）获取采购文件，并于" </w:instrText>
      </w:r>
      <w:r>
        <w:rPr>
          <w:rFonts w:hint="eastAsia"/>
          <w:highlight w:val="none"/>
        </w:rPr>
        <w:fldChar w:fldCharType="separate"/>
      </w:r>
      <w:r>
        <w:rPr>
          <w:rStyle w:val="40"/>
          <w:rFonts w:hint="eastAsia" w:ascii="仿宋" w:hAnsi="仿宋" w:eastAsia="仿宋" w:cs="仿宋"/>
          <w:sz w:val="28"/>
          <w:szCs w:val="28"/>
          <w:highlight w:val="none"/>
        </w:rPr>
        <w:t>获取采购文件，并于</w:t>
      </w:r>
      <w:r>
        <w:rPr>
          <w:rStyle w:val="40"/>
          <w:rFonts w:hint="eastAsia" w:ascii="仿宋" w:hAnsi="仿宋" w:eastAsia="仿宋" w:cs="仿宋"/>
          <w:sz w:val="28"/>
          <w:szCs w:val="28"/>
          <w:highlight w:val="none"/>
        </w:rPr>
        <w:fldChar w:fldCharType="end"/>
      </w:r>
      <w:r>
        <w:rPr>
          <w:rFonts w:hint="eastAsia" w:ascii="仿宋" w:hAnsi="仿宋" w:eastAsia="仿宋" w:cs="仿宋"/>
          <w:sz w:val="28"/>
          <w:szCs w:val="28"/>
          <w:highlight w:val="none"/>
          <w:lang w:val="en-US" w:eastAsia="zh-CN"/>
        </w:rPr>
        <w:t>2024</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8</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26</w:t>
      </w:r>
      <w:r>
        <w:rPr>
          <w:rFonts w:hint="eastAsia" w:ascii="仿宋" w:hAnsi="仿宋" w:eastAsia="仿宋" w:cs="仿宋"/>
          <w:sz w:val="28"/>
          <w:szCs w:val="28"/>
          <w:highlight w:val="none"/>
        </w:rPr>
        <w:t>日</w:t>
      </w:r>
      <w:r>
        <w:rPr>
          <w:rFonts w:hint="eastAsia" w:ascii="仿宋" w:hAnsi="仿宋" w:eastAsia="仿宋" w:cs="仿宋"/>
          <w:sz w:val="28"/>
          <w:szCs w:val="28"/>
          <w:highlight w:val="none"/>
          <w:u w:val="single"/>
          <w:lang w:val="en-US" w:eastAsia="zh-CN"/>
        </w:rPr>
        <w:t>09</w:t>
      </w:r>
      <w:r>
        <w:rPr>
          <w:rFonts w:hint="eastAsia" w:ascii="仿宋" w:hAnsi="仿宋" w:eastAsia="仿宋" w:cs="仿宋"/>
          <w:sz w:val="28"/>
          <w:szCs w:val="28"/>
          <w:highlight w:val="none"/>
        </w:rPr>
        <w:t>点</w:t>
      </w:r>
      <w:r>
        <w:rPr>
          <w:rFonts w:hint="eastAsia" w:ascii="仿宋" w:hAnsi="仿宋" w:eastAsia="仿宋" w:cs="仿宋"/>
          <w:sz w:val="28"/>
          <w:szCs w:val="28"/>
          <w:highlight w:val="none"/>
          <w:u w:val="single"/>
          <w:lang w:val="en-US" w:eastAsia="zh-CN"/>
        </w:rPr>
        <w:t>30</w:t>
      </w:r>
      <w:r>
        <w:rPr>
          <w:rFonts w:hint="eastAsia" w:ascii="仿宋" w:hAnsi="仿宋" w:eastAsia="仿宋" w:cs="仿宋"/>
          <w:sz w:val="28"/>
          <w:szCs w:val="28"/>
          <w:highlight w:val="none"/>
        </w:rPr>
        <w:t>分（北京时间）前提交响应文件。</w:t>
      </w:r>
    </w:p>
    <w:p w14:paraId="4C261F91">
      <w:pPr>
        <w:pStyle w:val="3"/>
        <w:adjustRightInd/>
        <w:spacing w:before="0" w:after="0" w:line="520" w:lineRule="exact"/>
        <w:jc w:val="both"/>
        <w:textAlignment w:val="auto"/>
        <w:outlineLvl w:val="0"/>
        <w:rPr>
          <w:rFonts w:ascii="黑体" w:hAnsi="黑体" w:cs="黑体"/>
          <w:b w:val="0"/>
          <w:bCs/>
          <w:sz w:val="28"/>
          <w:szCs w:val="28"/>
          <w:highlight w:val="none"/>
        </w:rPr>
      </w:pPr>
      <w:bookmarkStart w:id="3" w:name="_Toc21060"/>
      <w:bookmarkStart w:id="4" w:name="_Toc35393629"/>
      <w:bookmarkStart w:id="5" w:name="_Toc28359012"/>
      <w:bookmarkStart w:id="6" w:name="_Toc9864"/>
      <w:bookmarkStart w:id="7" w:name="_Toc28359089"/>
      <w:bookmarkStart w:id="8" w:name="_Toc35393798"/>
      <w:r>
        <w:rPr>
          <w:rFonts w:hint="eastAsia" w:ascii="黑体" w:hAnsi="黑体" w:cs="黑体"/>
          <w:b w:val="0"/>
          <w:bCs/>
          <w:sz w:val="28"/>
          <w:szCs w:val="28"/>
          <w:highlight w:val="none"/>
        </w:rPr>
        <w:t>一、项目基本情况</w:t>
      </w:r>
      <w:bookmarkEnd w:id="3"/>
      <w:bookmarkEnd w:id="4"/>
      <w:bookmarkEnd w:id="5"/>
      <w:bookmarkEnd w:id="6"/>
      <w:bookmarkEnd w:id="7"/>
      <w:bookmarkEnd w:id="8"/>
    </w:p>
    <w:p w14:paraId="1633B2C7">
      <w:pPr>
        <w:spacing w:line="520" w:lineRule="exact"/>
        <w:ind w:firstLine="560" w:firstLineChars="200"/>
        <w:rPr>
          <w:rFonts w:hint="eastAsia" w:ascii="宋体" w:hAnsi="宋体" w:eastAsia="宋体" w:cs="宋体"/>
          <w:color w:val="333333"/>
          <w:sz w:val="24"/>
          <w:szCs w:val="24"/>
          <w:highlight w:val="none"/>
          <w:shd w:val="clear" w:color="auto" w:fill="FFFFFF"/>
          <w:lang w:bidi="ar"/>
        </w:rPr>
      </w:pPr>
      <w:r>
        <w:rPr>
          <w:rFonts w:hint="eastAsia" w:ascii="仿宋" w:hAnsi="仿宋" w:eastAsia="仿宋" w:cs="仿宋"/>
          <w:sz w:val="28"/>
          <w:szCs w:val="28"/>
          <w:highlight w:val="none"/>
        </w:rPr>
        <w:t>1、项目编号：</w:t>
      </w:r>
      <w:r>
        <w:rPr>
          <w:rFonts w:hint="eastAsia" w:ascii="仿宋" w:hAnsi="仿宋" w:eastAsia="仿宋" w:cs="仿宋"/>
          <w:sz w:val="28"/>
          <w:szCs w:val="28"/>
          <w:highlight w:val="none"/>
          <w:lang w:val="en-US" w:eastAsia="zh-CN"/>
        </w:rPr>
        <w:t>DBSCG-2024-111</w:t>
      </w:r>
    </w:p>
    <w:p w14:paraId="4C8E429D">
      <w:pPr>
        <w:spacing w:line="520" w:lineRule="exact"/>
        <w:ind w:firstLine="560" w:firstLineChars="200"/>
        <w:rPr>
          <w:rFonts w:hint="default" w:ascii="仿宋" w:hAnsi="仿宋" w:eastAsia="仿宋" w:cs="仿宋"/>
          <w:sz w:val="28"/>
          <w:szCs w:val="28"/>
          <w:highlight w:val="none"/>
        </w:rPr>
      </w:pPr>
      <w:r>
        <w:rPr>
          <w:rFonts w:hint="eastAsia" w:ascii="仿宋" w:hAnsi="仿宋" w:eastAsia="仿宋" w:cs="仿宋"/>
          <w:sz w:val="28"/>
          <w:szCs w:val="28"/>
          <w:highlight w:val="none"/>
        </w:rPr>
        <w:t>2、项目名称：</w:t>
      </w:r>
      <w:r>
        <w:rPr>
          <w:rFonts w:hint="eastAsia" w:ascii="仿宋" w:hAnsi="仿宋" w:eastAsia="仿宋" w:cs="仿宋"/>
          <w:sz w:val="28"/>
          <w:szCs w:val="28"/>
          <w:highlight w:val="none"/>
          <w:lang w:eastAsia="zh-CN"/>
        </w:rPr>
        <w:t>霍山县城关小学食堂劳务派遣项目</w:t>
      </w:r>
    </w:p>
    <w:p w14:paraId="414BEE44">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3、项目类型：服务类</w:t>
      </w:r>
    </w:p>
    <w:p w14:paraId="380B736B">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4、采购方式：竞争性磋商</w:t>
      </w:r>
    </w:p>
    <w:p w14:paraId="533B1FA9">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5、预算金额：</w:t>
      </w:r>
      <w:r>
        <w:rPr>
          <w:rFonts w:hint="eastAsia" w:ascii="仿宋" w:hAnsi="仿宋" w:eastAsia="仿宋" w:cs="仿宋"/>
          <w:sz w:val="28"/>
          <w:szCs w:val="28"/>
          <w:highlight w:val="none"/>
          <w:u w:val="none"/>
          <w:lang w:val="en-US" w:eastAsia="zh-CN"/>
        </w:rPr>
        <w:t>35.2万元</w:t>
      </w:r>
    </w:p>
    <w:p w14:paraId="5C201633">
      <w:pPr>
        <w:spacing w:line="520" w:lineRule="exact"/>
        <w:ind w:firstLine="560" w:firstLineChars="200"/>
        <w:rPr>
          <w:rFonts w:hint="eastAsia" w:ascii="仿宋" w:hAnsi="仿宋" w:eastAsia="仿宋" w:cs="仿宋"/>
          <w:sz w:val="28"/>
          <w:szCs w:val="28"/>
          <w:highlight w:val="none"/>
          <w:u w:val="single"/>
          <w:lang w:val="en-US" w:eastAsia="zh-CN"/>
        </w:rPr>
      </w:pPr>
      <w:r>
        <w:rPr>
          <w:rFonts w:hint="eastAsia" w:ascii="仿宋" w:hAnsi="仿宋" w:eastAsia="仿宋" w:cs="仿宋"/>
          <w:sz w:val="28"/>
          <w:szCs w:val="28"/>
          <w:highlight w:val="none"/>
        </w:rPr>
        <w:t>6、最高限价：</w:t>
      </w:r>
      <w:r>
        <w:rPr>
          <w:rFonts w:hint="eastAsia" w:ascii="仿宋" w:hAnsi="仿宋" w:eastAsia="仿宋" w:cs="仿宋"/>
          <w:sz w:val="28"/>
          <w:szCs w:val="28"/>
          <w:highlight w:val="none"/>
          <w:u w:val="none"/>
          <w:lang w:val="en-US" w:eastAsia="zh-CN"/>
        </w:rPr>
        <w:t>35.2万元</w:t>
      </w:r>
    </w:p>
    <w:p w14:paraId="4E9B7392">
      <w:pPr>
        <w:widowControl/>
        <w:spacing w:line="560" w:lineRule="exact"/>
        <w:ind w:firstLine="560" w:firstLineChars="200"/>
        <w:jc w:val="left"/>
        <w:rPr>
          <w:rFonts w:hint="default" w:ascii="宋体" w:hAnsi="宋体" w:eastAsia="仿宋" w:cs="宋体"/>
          <w:color w:val="333333"/>
          <w:kern w:val="0"/>
          <w:sz w:val="24"/>
          <w:szCs w:val="24"/>
          <w:highlight w:val="none"/>
          <w:shd w:val="clear" w:color="auto" w:fill="FFFFFF"/>
          <w:lang w:val="en-US" w:eastAsia="zh-CN"/>
        </w:rPr>
      </w:pPr>
      <w:r>
        <w:rPr>
          <w:rFonts w:hint="eastAsia" w:ascii="仿宋" w:hAnsi="仿宋" w:eastAsia="仿宋" w:cs="仿宋"/>
          <w:sz w:val="28"/>
          <w:szCs w:val="28"/>
          <w:highlight w:val="none"/>
        </w:rPr>
        <w:t>7、采购需求：</w:t>
      </w:r>
      <w:r>
        <w:rPr>
          <w:rFonts w:hint="eastAsia" w:ascii="仿宋" w:hAnsi="仿宋" w:eastAsia="仿宋" w:cs="仿宋"/>
          <w:sz w:val="28"/>
          <w:szCs w:val="28"/>
          <w:highlight w:val="none"/>
          <w:lang w:eastAsia="zh-CN"/>
        </w:rPr>
        <w:t>霍山县城关小学食堂劳务派遣项目，</w:t>
      </w:r>
      <w:r>
        <w:rPr>
          <w:rFonts w:hint="eastAsia" w:ascii="仿宋" w:hAnsi="仿宋" w:eastAsia="仿宋" w:cs="仿宋"/>
          <w:sz w:val="28"/>
          <w:szCs w:val="28"/>
          <w:highlight w:val="none"/>
          <w:lang w:val="en-US" w:eastAsia="zh-CN"/>
        </w:rPr>
        <w:t>霍山县城关小学</w:t>
      </w:r>
      <w:r>
        <w:rPr>
          <w:rFonts w:hint="eastAsia" w:ascii="仿宋" w:hAnsi="仿宋" w:eastAsia="仿宋" w:cs="仿宋"/>
          <w:sz w:val="28"/>
          <w:szCs w:val="28"/>
          <w:highlight w:val="none"/>
          <w:lang w:eastAsia="zh-CN"/>
        </w:rPr>
        <w:t>食堂</w:t>
      </w:r>
      <w:r>
        <w:rPr>
          <w:rFonts w:hint="eastAsia" w:ascii="仿宋" w:hAnsi="仿宋" w:eastAsia="仿宋" w:cs="仿宋"/>
          <w:sz w:val="28"/>
          <w:szCs w:val="28"/>
          <w:highlight w:val="none"/>
          <w:lang w:val="en-US" w:eastAsia="zh-CN"/>
        </w:rPr>
        <w:t>提供</w:t>
      </w:r>
      <w:r>
        <w:rPr>
          <w:rFonts w:hint="eastAsia" w:ascii="仿宋" w:hAnsi="仿宋" w:eastAsia="仿宋" w:cs="仿宋"/>
          <w:sz w:val="28"/>
          <w:szCs w:val="28"/>
          <w:highlight w:val="none"/>
          <w:lang w:eastAsia="zh-CN"/>
        </w:rPr>
        <w:t>餐饮</w:t>
      </w:r>
      <w:r>
        <w:rPr>
          <w:rFonts w:hint="eastAsia" w:ascii="仿宋" w:hAnsi="仿宋" w:eastAsia="仿宋" w:cs="仿宋"/>
          <w:sz w:val="28"/>
          <w:szCs w:val="28"/>
          <w:highlight w:val="none"/>
          <w:lang w:val="en-US" w:eastAsia="zh-CN"/>
        </w:rPr>
        <w:t>设备</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现需要</w:t>
      </w:r>
      <w:r>
        <w:rPr>
          <w:rFonts w:hint="eastAsia" w:ascii="仿宋" w:hAnsi="仿宋" w:eastAsia="仿宋" w:cs="仿宋"/>
          <w:sz w:val="28"/>
          <w:szCs w:val="28"/>
          <w:highlight w:val="none"/>
          <w:lang w:eastAsia="zh-CN"/>
        </w:rPr>
        <w:t>选择一家</w:t>
      </w:r>
      <w:r>
        <w:rPr>
          <w:rFonts w:hint="eastAsia" w:ascii="仿宋" w:hAnsi="仿宋" w:eastAsia="仿宋" w:cs="仿宋"/>
          <w:sz w:val="28"/>
          <w:szCs w:val="28"/>
          <w:highlight w:val="none"/>
          <w:lang w:val="en-US" w:eastAsia="zh-CN"/>
        </w:rPr>
        <w:t>劳务派遣</w:t>
      </w:r>
      <w:r>
        <w:rPr>
          <w:rFonts w:hint="eastAsia" w:ascii="仿宋" w:hAnsi="仿宋" w:eastAsia="仿宋" w:cs="仿宋"/>
          <w:sz w:val="28"/>
          <w:szCs w:val="28"/>
          <w:highlight w:val="none"/>
          <w:lang w:eastAsia="zh-CN"/>
        </w:rPr>
        <w:t>企业经营管理，</w:t>
      </w:r>
      <w:r>
        <w:rPr>
          <w:rFonts w:hint="eastAsia" w:ascii="仿宋" w:hAnsi="仿宋" w:eastAsia="仿宋" w:cs="仿宋"/>
          <w:sz w:val="28"/>
          <w:szCs w:val="28"/>
          <w:highlight w:val="none"/>
          <w:lang w:val="en-US" w:eastAsia="zh-CN"/>
        </w:rPr>
        <w:t>学校</w:t>
      </w:r>
      <w:r>
        <w:rPr>
          <w:rFonts w:hint="eastAsia" w:ascii="仿宋" w:hAnsi="仿宋" w:eastAsia="仿宋" w:cs="仿宋"/>
          <w:sz w:val="28"/>
          <w:szCs w:val="28"/>
          <w:highlight w:val="none"/>
          <w:lang w:eastAsia="zh-CN"/>
        </w:rPr>
        <w:t>配齐基本运行所需要的用品用具。</w:t>
      </w:r>
      <w:r>
        <w:rPr>
          <w:rFonts w:hint="eastAsia" w:ascii="仿宋" w:hAnsi="仿宋" w:eastAsia="仿宋" w:cs="仿宋"/>
          <w:sz w:val="28"/>
          <w:szCs w:val="28"/>
          <w:highlight w:val="none"/>
          <w:lang w:val="en-US" w:eastAsia="zh-CN"/>
        </w:rPr>
        <w:t>具体内容详见采购需求。</w:t>
      </w:r>
    </w:p>
    <w:p w14:paraId="6F36896C">
      <w:pPr>
        <w:widowControl/>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8、合同履行期限：</w:t>
      </w:r>
      <w:r>
        <w:rPr>
          <w:rFonts w:hint="eastAsia" w:ascii="仿宋" w:hAnsi="仿宋" w:eastAsia="仿宋" w:cs="仿宋"/>
          <w:sz w:val="28"/>
          <w:szCs w:val="28"/>
          <w:highlight w:val="none"/>
          <w:lang w:eastAsia="zh-CN"/>
        </w:rPr>
        <w:t>经营管理期限为三年（合同一年一签，年度考核合格方可续签下一年合同）</w:t>
      </w:r>
    </w:p>
    <w:p w14:paraId="7F674ACE">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9、是否接受联合体：本项目不接受联合体。</w:t>
      </w:r>
    </w:p>
    <w:p w14:paraId="07B7F975">
      <w:pPr>
        <w:pStyle w:val="3"/>
        <w:adjustRightInd/>
        <w:spacing w:before="0" w:after="0" w:line="520" w:lineRule="exact"/>
        <w:jc w:val="both"/>
        <w:textAlignment w:val="auto"/>
        <w:outlineLvl w:val="0"/>
        <w:rPr>
          <w:rFonts w:ascii="黑体" w:hAnsi="黑体" w:cs="黑体"/>
          <w:b w:val="0"/>
          <w:bCs/>
          <w:sz w:val="28"/>
          <w:szCs w:val="28"/>
          <w:highlight w:val="none"/>
        </w:rPr>
      </w:pPr>
      <w:bookmarkStart w:id="9" w:name="_Toc28359013"/>
      <w:bookmarkStart w:id="10" w:name="_Toc28359090"/>
      <w:bookmarkStart w:id="11" w:name="_Toc8072"/>
      <w:bookmarkStart w:id="12" w:name="_Toc1356"/>
      <w:bookmarkStart w:id="13" w:name="_Toc35393799"/>
      <w:bookmarkStart w:id="14" w:name="_Toc35393630"/>
      <w:bookmarkStart w:id="15" w:name="_Toc28359091"/>
      <w:bookmarkStart w:id="16" w:name="_Toc28359014"/>
      <w:r>
        <w:rPr>
          <w:rFonts w:hint="eastAsia" w:ascii="黑体" w:hAnsi="黑体" w:cs="黑体"/>
          <w:b w:val="0"/>
          <w:bCs/>
          <w:sz w:val="28"/>
          <w:szCs w:val="28"/>
          <w:highlight w:val="none"/>
        </w:rPr>
        <w:t>二、申请人的资格要求</w:t>
      </w:r>
      <w:bookmarkEnd w:id="9"/>
      <w:bookmarkEnd w:id="10"/>
      <w:bookmarkEnd w:id="11"/>
      <w:bookmarkEnd w:id="12"/>
      <w:bookmarkEnd w:id="13"/>
      <w:bookmarkEnd w:id="14"/>
    </w:p>
    <w:p w14:paraId="29C6B63D">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1、满足《中华人民共和国政府采购法》第二十二条规定；</w:t>
      </w:r>
    </w:p>
    <w:p w14:paraId="280A30A0">
      <w:pPr>
        <w:spacing w:line="52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2、落实政府采购政策需满足的资格要求</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无；</w:t>
      </w:r>
    </w:p>
    <w:p w14:paraId="56948175">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3、本项目的特定资格要求：具有有效期内的食品</w:t>
      </w:r>
      <w:r>
        <w:rPr>
          <w:rFonts w:hint="eastAsia" w:ascii="仿宋" w:hAnsi="仿宋" w:eastAsia="仿宋" w:cs="仿宋"/>
          <w:sz w:val="28"/>
          <w:szCs w:val="28"/>
          <w:highlight w:val="none"/>
          <w:lang w:val="en-US" w:eastAsia="zh-CN"/>
        </w:rPr>
        <w:t>经营</w:t>
      </w:r>
      <w:r>
        <w:rPr>
          <w:rFonts w:hint="eastAsia" w:ascii="仿宋" w:hAnsi="仿宋" w:eastAsia="仿宋" w:cs="仿宋"/>
          <w:sz w:val="28"/>
          <w:szCs w:val="28"/>
          <w:highlight w:val="none"/>
        </w:rPr>
        <w:t>许可证</w:t>
      </w:r>
      <w:r>
        <w:rPr>
          <w:rFonts w:hint="eastAsia" w:ascii="仿宋" w:hAnsi="仿宋" w:eastAsia="仿宋" w:cs="仿宋"/>
          <w:sz w:val="28"/>
          <w:szCs w:val="28"/>
          <w:highlight w:val="none"/>
          <w:lang w:val="en-US" w:eastAsia="zh-CN"/>
        </w:rPr>
        <w:t>和劳务派遣经营许可证</w:t>
      </w:r>
      <w:r>
        <w:rPr>
          <w:rFonts w:hint="eastAsia" w:ascii="仿宋" w:hAnsi="仿宋" w:eastAsia="仿宋" w:cs="仿宋"/>
          <w:sz w:val="28"/>
          <w:szCs w:val="28"/>
          <w:highlight w:val="none"/>
        </w:rPr>
        <w:t>。</w:t>
      </w:r>
    </w:p>
    <w:p w14:paraId="3DD58433">
      <w:pPr>
        <w:pStyle w:val="3"/>
        <w:adjustRightInd/>
        <w:spacing w:before="0" w:after="0" w:line="520" w:lineRule="exact"/>
        <w:jc w:val="both"/>
        <w:textAlignment w:val="auto"/>
        <w:outlineLvl w:val="0"/>
        <w:rPr>
          <w:rFonts w:ascii="黑体" w:hAnsi="黑体" w:cs="黑体"/>
          <w:b w:val="0"/>
          <w:bCs/>
          <w:sz w:val="28"/>
          <w:szCs w:val="28"/>
          <w:highlight w:val="none"/>
        </w:rPr>
      </w:pPr>
      <w:bookmarkStart w:id="17" w:name="_Toc35393631"/>
      <w:bookmarkStart w:id="18" w:name="_Toc35393800"/>
      <w:bookmarkStart w:id="19" w:name="_Toc3959"/>
      <w:bookmarkStart w:id="20" w:name="_Toc32583"/>
      <w:r>
        <w:rPr>
          <w:rFonts w:hint="eastAsia" w:ascii="黑体" w:hAnsi="黑体" w:cs="黑体"/>
          <w:b w:val="0"/>
          <w:bCs/>
          <w:sz w:val="28"/>
          <w:szCs w:val="28"/>
          <w:highlight w:val="none"/>
        </w:rPr>
        <w:t>三、获取采购文件</w:t>
      </w:r>
      <w:bookmarkEnd w:id="15"/>
      <w:bookmarkEnd w:id="16"/>
      <w:bookmarkEnd w:id="17"/>
      <w:bookmarkEnd w:id="18"/>
      <w:bookmarkEnd w:id="19"/>
      <w:bookmarkEnd w:id="20"/>
    </w:p>
    <w:p w14:paraId="1C11B39C">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8</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16</w:t>
      </w:r>
      <w:r>
        <w:rPr>
          <w:rFonts w:hint="eastAsia" w:ascii="仿宋" w:hAnsi="仿宋" w:eastAsia="仿宋" w:cs="仿宋"/>
          <w:bCs/>
          <w:sz w:val="28"/>
          <w:szCs w:val="28"/>
          <w:highlight w:val="none"/>
        </w:rPr>
        <w:t>日至</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8</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26</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rPr>
        <w:t>09</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3</w:t>
      </w:r>
      <w:r>
        <w:rPr>
          <w:rFonts w:hint="eastAsia" w:ascii="仿宋" w:hAnsi="仿宋" w:eastAsia="仿宋" w:cs="仿宋"/>
          <w:bCs/>
          <w:sz w:val="28"/>
          <w:szCs w:val="28"/>
          <w:highlight w:val="none"/>
          <w:u w:val="single"/>
        </w:rPr>
        <w:t>0</w:t>
      </w:r>
      <w:r>
        <w:rPr>
          <w:rFonts w:hint="eastAsia" w:ascii="仿宋" w:hAnsi="仿宋" w:eastAsia="仿宋" w:cs="仿宋"/>
          <w:bCs/>
          <w:sz w:val="28"/>
          <w:szCs w:val="28"/>
          <w:highlight w:val="none"/>
        </w:rPr>
        <w:t>分</w:t>
      </w:r>
      <w:r>
        <w:rPr>
          <w:rFonts w:hint="eastAsia" w:ascii="仿宋" w:hAnsi="仿宋" w:eastAsia="仿宋" w:cs="仿宋"/>
          <w:sz w:val="28"/>
          <w:szCs w:val="28"/>
          <w:highlight w:val="none"/>
        </w:rPr>
        <w:t>（北京时间）</w:t>
      </w:r>
      <w:r>
        <w:rPr>
          <w:rFonts w:hint="eastAsia" w:ascii="仿宋" w:hAnsi="仿宋" w:eastAsia="仿宋" w:cs="仿宋"/>
          <w:sz w:val="28"/>
          <w:szCs w:val="28"/>
          <w:highlight w:val="none"/>
          <w:lang w:eastAsia="zh-CN"/>
        </w:rPr>
        <w:t>。</w:t>
      </w:r>
    </w:p>
    <w:p w14:paraId="34166E56">
      <w:pPr>
        <w:spacing w:line="520" w:lineRule="exact"/>
        <w:ind w:firstLine="560" w:firstLineChars="200"/>
        <w:rPr>
          <w:rFonts w:hint="default" w:ascii="仿宋" w:hAnsi="仿宋" w:eastAsia="仿宋" w:cs="仿宋"/>
          <w:sz w:val="28"/>
          <w:szCs w:val="28"/>
          <w:highlight w:val="none"/>
          <w:u w:val="single"/>
          <w:lang w:val="en-US"/>
        </w:rPr>
      </w:pPr>
      <w:r>
        <w:rPr>
          <w:rFonts w:hint="eastAsia" w:ascii="仿宋" w:hAnsi="仿宋" w:eastAsia="仿宋" w:cs="仿宋"/>
          <w:sz w:val="28"/>
          <w:szCs w:val="28"/>
          <w:highlight w:val="none"/>
        </w:rPr>
        <w:t>2、地点：</w:t>
      </w:r>
      <w:r>
        <w:rPr>
          <w:rFonts w:hint="eastAsia" w:ascii="仿宋" w:hAnsi="仿宋" w:eastAsia="仿宋" w:cs="仿宋"/>
          <w:sz w:val="28"/>
          <w:szCs w:val="28"/>
          <w:highlight w:val="none"/>
          <w:lang w:val="en-US" w:eastAsia="zh-CN"/>
        </w:rPr>
        <w:t>安徽霍山国有资产投资控股集团有限公司（http：//ahdmig.cn/）。</w:t>
      </w:r>
    </w:p>
    <w:p w14:paraId="3089AFC3">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3、获取方式</w:t>
      </w:r>
      <w:r>
        <w:rPr>
          <w:rFonts w:hint="eastAsia" w:ascii="仿宋" w:hAnsi="仿宋" w:eastAsia="仿宋" w:cs="仿宋"/>
          <w:sz w:val="28"/>
          <w:szCs w:val="28"/>
          <w:highlight w:val="none"/>
          <w:lang w:eastAsia="zh-CN"/>
        </w:rPr>
        <w:t>：①本项目采购文件（答疑澄清等相关文件资料）从安徽霍山国有资产投资控股集团有限公司（http：//ahdmig.cn/）下载。②供应商在下载招标文件（答疑澄清等相关文件资料）过程中若遇到问题，电话：0564-5020033。</w:t>
      </w:r>
    </w:p>
    <w:p w14:paraId="009F113B">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4、售价：零元</w:t>
      </w:r>
    </w:p>
    <w:p w14:paraId="38F04155">
      <w:pPr>
        <w:pStyle w:val="3"/>
        <w:adjustRightInd/>
        <w:spacing w:before="0" w:after="0" w:line="520" w:lineRule="exact"/>
        <w:jc w:val="both"/>
        <w:textAlignment w:val="auto"/>
        <w:outlineLvl w:val="0"/>
        <w:rPr>
          <w:rFonts w:ascii="黑体" w:hAnsi="黑体" w:cs="黑体"/>
          <w:b w:val="0"/>
          <w:bCs/>
          <w:sz w:val="28"/>
          <w:szCs w:val="28"/>
          <w:highlight w:val="none"/>
        </w:rPr>
      </w:pPr>
      <w:bookmarkStart w:id="21" w:name="_Toc35393801"/>
      <w:bookmarkStart w:id="22" w:name="_Toc28359015"/>
      <w:bookmarkStart w:id="23" w:name="_Toc35393632"/>
      <w:bookmarkStart w:id="24" w:name="_Toc28359092"/>
      <w:bookmarkStart w:id="25" w:name="_Toc26077"/>
      <w:bookmarkStart w:id="26" w:name="_Toc7903"/>
      <w:r>
        <w:rPr>
          <w:rFonts w:hint="eastAsia" w:ascii="黑体" w:hAnsi="黑体" w:cs="黑体"/>
          <w:b w:val="0"/>
          <w:bCs/>
          <w:sz w:val="28"/>
          <w:szCs w:val="28"/>
          <w:highlight w:val="none"/>
        </w:rPr>
        <w:t>四、响应文件</w:t>
      </w:r>
      <w:bookmarkEnd w:id="21"/>
      <w:bookmarkEnd w:id="22"/>
      <w:bookmarkEnd w:id="23"/>
      <w:bookmarkEnd w:id="24"/>
      <w:r>
        <w:rPr>
          <w:rFonts w:hint="eastAsia" w:ascii="黑体" w:hAnsi="黑体" w:cs="黑体"/>
          <w:b w:val="0"/>
          <w:bCs/>
          <w:sz w:val="28"/>
          <w:szCs w:val="28"/>
          <w:highlight w:val="none"/>
        </w:rPr>
        <w:t>提交</w:t>
      </w:r>
      <w:bookmarkEnd w:id="25"/>
      <w:bookmarkEnd w:id="26"/>
    </w:p>
    <w:p w14:paraId="0782EEFE">
      <w:pPr>
        <w:spacing w:line="520" w:lineRule="exact"/>
        <w:ind w:firstLine="560" w:firstLineChars="200"/>
        <w:rPr>
          <w:rFonts w:ascii="仿宋" w:hAnsi="仿宋" w:eastAsia="仿宋" w:cs="仿宋"/>
          <w:bCs/>
          <w:sz w:val="28"/>
          <w:szCs w:val="28"/>
          <w:highlight w:val="none"/>
        </w:rPr>
      </w:pPr>
      <w:r>
        <w:rPr>
          <w:rFonts w:hint="eastAsia" w:ascii="仿宋" w:hAnsi="仿宋" w:eastAsia="仿宋" w:cs="仿宋"/>
          <w:sz w:val="28"/>
          <w:szCs w:val="28"/>
          <w:highlight w:val="none"/>
        </w:rPr>
        <w:t>1、截止时间：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8</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26</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09</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30</w:t>
      </w:r>
      <w:r>
        <w:rPr>
          <w:rFonts w:hint="eastAsia" w:ascii="仿宋" w:hAnsi="仿宋" w:eastAsia="仿宋" w:cs="仿宋"/>
          <w:bCs/>
          <w:sz w:val="28"/>
          <w:szCs w:val="28"/>
          <w:highlight w:val="none"/>
        </w:rPr>
        <w:t>分（北京时间）</w:t>
      </w:r>
    </w:p>
    <w:p w14:paraId="45483A74">
      <w:pPr>
        <w:widowControl/>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2、提交方式：现场递交纸质标书。</w:t>
      </w:r>
    </w:p>
    <w:p w14:paraId="106C40F3">
      <w:pPr>
        <w:widowControl/>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、地</w:t>
      </w:r>
      <w:r>
        <w:rPr>
          <w:rFonts w:hint="eastAsia" w:ascii="仿宋" w:hAnsi="仿宋" w:eastAsia="仿宋" w:cs="仿宋"/>
          <w:kern w:val="0"/>
          <w:sz w:val="28"/>
          <w:szCs w:val="28"/>
          <w:highlight w:val="none"/>
          <w:lang w:val="en-US" w:eastAsia="zh-CN"/>
        </w:rPr>
        <w:t xml:space="preserve">    </w:t>
      </w:r>
      <w:r>
        <w:rPr>
          <w:rFonts w:hint="eastAsia" w:ascii="仿宋" w:hAnsi="仿宋" w:eastAsia="仿宋" w:cs="仿宋"/>
          <w:kern w:val="0"/>
          <w:sz w:val="28"/>
          <w:szCs w:val="28"/>
          <w:highlight w:val="none"/>
        </w:rPr>
        <w:t>点：</w:t>
      </w:r>
      <w:r>
        <w:rPr>
          <w:rFonts w:hint="eastAsia" w:ascii="仿宋" w:hAnsi="仿宋" w:eastAsia="仿宋" w:cs="仿宋"/>
          <w:kern w:val="0"/>
          <w:sz w:val="28"/>
          <w:szCs w:val="28"/>
          <w:highlight w:val="none"/>
          <w:lang w:val="en-US" w:eastAsia="zh-CN"/>
        </w:rPr>
        <w:t>霍山县公共资源交易中心第三开标厅</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霍山县住建大厦3楼</w:t>
      </w:r>
      <w:r>
        <w:rPr>
          <w:rFonts w:hint="eastAsia" w:ascii="仿宋" w:hAnsi="仿宋" w:eastAsia="仿宋" w:cs="仿宋"/>
          <w:kern w:val="0"/>
          <w:sz w:val="28"/>
          <w:szCs w:val="28"/>
          <w:highlight w:val="none"/>
        </w:rPr>
        <w:t>）</w:t>
      </w:r>
    </w:p>
    <w:p w14:paraId="364CD786">
      <w:pPr>
        <w:pStyle w:val="3"/>
        <w:adjustRightInd/>
        <w:spacing w:before="0" w:after="0" w:line="520" w:lineRule="exact"/>
        <w:jc w:val="both"/>
        <w:textAlignment w:val="auto"/>
        <w:outlineLvl w:val="0"/>
        <w:rPr>
          <w:rFonts w:ascii="黑体" w:hAnsi="黑体" w:cs="黑体"/>
          <w:b w:val="0"/>
          <w:bCs/>
          <w:sz w:val="28"/>
          <w:szCs w:val="28"/>
          <w:highlight w:val="none"/>
        </w:rPr>
      </w:pPr>
      <w:bookmarkStart w:id="27" w:name="_Toc35393633"/>
      <w:bookmarkStart w:id="28" w:name="_Toc28359093"/>
      <w:bookmarkStart w:id="29" w:name="_Toc35393802"/>
      <w:bookmarkStart w:id="30" w:name="_Toc28359016"/>
      <w:bookmarkStart w:id="31" w:name="_Toc24538"/>
      <w:bookmarkStart w:id="32" w:name="_Toc11900"/>
      <w:r>
        <w:rPr>
          <w:rFonts w:hint="eastAsia" w:ascii="黑体" w:hAnsi="黑体" w:cs="黑体"/>
          <w:b w:val="0"/>
          <w:bCs/>
          <w:sz w:val="28"/>
          <w:szCs w:val="28"/>
          <w:highlight w:val="none"/>
        </w:rPr>
        <w:t>五、</w:t>
      </w:r>
      <w:bookmarkEnd w:id="27"/>
      <w:bookmarkEnd w:id="28"/>
      <w:bookmarkEnd w:id="29"/>
      <w:bookmarkEnd w:id="30"/>
      <w:r>
        <w:rPr>
          <w:rFonts w:hint="eastAsia" w:ascii="黑体" w:hAnsi="黑体" w:cs="黑体"/>
          <w:b w:val="0"/>
          <w:bCs/>
          <w:sz w:val="28"/>
          <w:szCs w:val="28"/>
          <w:highlight w:val="none"/>
        </w:rPr>
        <w:t>响应文件开启</w:t>
      </w:r>
      <w:bookmarkEnd w:id="31"/>
      <w:bookmarkEnd w:id="32"/>
    </w:p>
    <w:p w14:paraId="3B745649">
      <w:pPr>
        <w:spacing w:line="520" w:lineRule="exact"/>
        <w:ind w:firstLine="560" w:firstLineChars="200"/>
        <w:rPr>
          <w:rFonts w:ascii="仿宋" w:hAnsi="仿宋" w:eastAsia="仿宋" w:cs="仿宋"/>
          <w:sz w:val="28"/>
          <w:szCs w:val="28"/>
          <w:highlight w:val="none"/>
          <w:u w:val="single"/>
        </w:rPr>
      </w:pPr>
      <w:r>
        <w:rPr>
          <w:rFonts w:hint="eastAsia" w:ascii="仿宋" w:hAnsi="仿宋" w:eastAsia="仿宋" w:cs="仿宋"/>
          <w:sz w:val="28"/>
          <w:szCs w:val="28"/>
          <w:highlight w:val="none"/>
        </w:rPr>
        <w:t>1、时间：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8</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26</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09</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30</w:t>
      </w:r>
      <w:r>
        <w:rPr>
          <w:rFonts w:hint="eastAsia" w:ascii="仿宋" w:hAnsi="仿宋" w:eastAsia="仿宋" w:cs="仿宋"/>
          <w:bCs/>
          <w:sz w:val="28"/>
          <w:szCs w:val="28"/>
          <w:highlight w:val="none"/>
        </w:rPr>
        <w:t>分</w:t>
      </w:r>
      <w:r>
        <w:rPr>
          <w:rFonts w:hint="eastAsia" w:ascii="仿宋" w:hAnsi="仿宋" w:eastAsia="仿宋" w:cs="仿宋"/>
          <w:sz w:val="28"/>
          <w:szCs w:val="28"/>
          <w:highlight w:val="none"/>
        </w:rPr>
        <w:t>（北京时间）</w:t>
      </w:r>
    </w:p>
    <w:p w14:paraId="67F58F68">
      <w:pPr>
        <w:pStyle w:val="33"/>
        <w:spacing w:after="0"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2、地点：</w:t>
      </w:r>
      <w:r>
        <w:rPr>
          <w:rFonts w:hint="eastAsia" w:ascii="仿宋" w:hAnsi="仿宋" w:eastAsia="仿宋" w:cs="仿宋"/>
          <w:kern w:val="0"/>
          <w:sz w:val="28"/>
          <w:szCs w:val="28"/>
          <w:highlight w:val="none"/>
          <w:lang w:val="en-US" w:eastAsia="zh-CN"/>
        </w:rPr>
        <w:t>霍山县公共资源交易中心第三开标厅</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霍山县住建大厦3楼</w:t>
      </w:r>
      <w:r>
        <w:rPr>
          <w:rFonts w:hint="eastAsia" w:ascii="仿宋" w:hAnsi="仿宋" w:eastAsia="仿宋" w:cs="仿宋"/>
          <w:kern w:val="0"/>
          <w:sz w:val="28"/>
          <w:szCs w:val="28"/>
          <w:highlight w:val="none"/>
        </w:rPr>
        <w:t>）</w:t>
      </w:r>
    </w:p>
    <w:p w14:paraId="3D60D589">
      <w:pPr>
        <w:pStyle w:val="3"/>
        <w:adjustRightInd/>
        <w:spacing w:before="0" w:after="0" w:line="520" w:lineRule="exact"/>
        <w:jc w:val="both"/>
        <w:textAlignment w:val="auto"/>
        <w:outlineLvl w:val="0"/>
        <w:rPr>
          <w:rFonts w:ascii="黑体" w:hAnsi="黑体" w:cs="黑体"/>
          <w:b w:val="0"/>
          <w:bCs/>
          <w:sz w:val="28"/>
          <w:szCs w:val="28"/>
          <w:highlight w:val="none"/>
        </w:rPr>
      </w:pPr>
      <w:bookmarkStart w:id="33" w:name="_Toc35393803"/>
      <w:bookmarkStart w:id="34" w:name="_Toc9343"/>
      <w:bookmarkStart w:id="35" w:name="_Toc28359017"/>
      <w:bookmarkStart w:id="36" w:name="_Toc35393634"/>
      <w:bookmarkStart w:id="37" w:name="_Toc28359094"/>
      <w:bookmarkStart w:id="38" w:name="_Toc6439"/>
      <w:r>
        <w:rPr>
          <w:rFonts w:hint="eastAsia" w:ascii="黑体" w:hAnsi="黑体" w:cs="黑体"/>
          <w:b w:val="0"/>
          <w:bCs/>
          <w:sz w:val="28"/>
          <w:szCs w:val="28"/>
          <w:highlight w:val="none"/>
        </w:rPr>
        <w:t>六、公告期限</w:t>
      </w:r>
      <w:bookmarkEnd w:id="33"/>
      <w:bookmarkEnd w:id="34"/>
      <w:bookmarkEnd w:id="35"/>
      <w:bookmarkEnd w:id="36"/>
      <w:bookmarkEnd w:id="37"/>
      <w:bookmarkEnd w:id="38"/>
    </w:p>
    <w:p w14:paraId="41DD0B19">
      <w:pPr>
        <w:spacing w:line="5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自本公告发布之日起</w:t>
      </w: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个</w:t>
      </w:r>
      <w:r>
        <w:rPr>
          <w:rFonts w:hint="eastAsia" w:ascii="仿宋" w:hAnsi="仿宋" w:eastAsia="仿宋" w:cs="仿宋"/>
          <w:kern w:val="0"/>
          <w:sz w:val="28"/>
          <w:szCs w:val="28"/>
          <w:highlight w:val="none"/>
          <w:lang w:val="en-US" w:eastAsia="zh-CN"/>
        </w:rPr>
        <w:t>工作日</w:t>
      </w:r>
      <w:r>
        <w:rPr>
          <w:rFonts w:hint="eastAsia" w:ascii="仿宋" w:hAnsi="仿宋" w:eastAsia="仿宋" w:cs="仿宋"/>
          <w:kern w:val="0"/>
          <w:sz w:val="28"/>
          <w:szCs w:val="28"/>
          <w:highlight w:val="none"/>
        </w:rPr>
        <w:t>。</w:t>
      </w:r>
    </w:p>
    <w:p w14:paraId="477A9E33">
      <w:pPr>
        <w:spacing w:line="520" w:lineRule="exact"/>
        <w:outlineLvl w:val="0"/>
        <w:rPr>
          <w:rFonts w:ascii="黑体" w:hAnsi="黑体" w:eastAsia="黑体" w:cs="黑体"/>
          <w:sz w:val="28"/>
          <w:szCs w:val="28"/>
          <w:highlight w:val="none"/>
        </w:rPr>
      </w:pPr>
      <w:bookmarkStart w:id="39" w:name="_Toc64"/>
      <w:r>
        <w:rPr>
          <w:rFonts w:hint="eastAsia" w:ascii="黑体" w:hAnsi="黑体" w:eastAsia="黑体" w:cs="黑体"/>
          <w:sz w:val="28"/>
          <w:szCs w:val="28"/>
          <w:highlight w:val="none"/>
        </w:rPr>
        <w:t>七、</w:t>
      </w:r>
      <w:bookmarkStart w:id="40" w:name="_Toc35393804"/>
      <w:bookmarkStart w:id="41" w:name="_Toc35393635"/>
      <w:r>
        <w:rPr>
          <w:rFonts w:hint="eastAsia" w:ascii="黑体" w:hAnsi="黑体" w:eastAsia="黑体" w:cs="黑体"/>
          <w:sz w:val="28"/>
          <w:szCs w:val="28"/>
          <w:highlight w:val="none"/>
        </w:rPr>
        <w:t>其他事宜</w:t>
      </w:r>
      <w:bookmarkEnd w:id="39"/>
      <w:bookmarkEnd w:id="40"/>
      <w:bookmarkEnd w:id="41"/>
      <w:bookmarkStart w:id="42" w:name="_Toc28359095"/>
      <w:bookmarkStart w:id="43" w:name="_Toc35393805"/>
      <w:bookmarkStart w:id="44" w:name="_Toc28359018"/>
      <w:bookmarkStart w:id="45" w:name="_Toc35393636"/>
    </w:p>
    <w:p w14:paraId="245A0DE6">
      <w:pPr>
        <w:spacing w:line="520" w:lineRule="exact"/>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本项目所属行业：餐饮业</w:t>
      </w:r>
    </w:p>
    <w:p w14:paraId="3DEBE16B">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）响应保证金：本项目无需提供</w:t>
      </w:r>
    </w:p>
    <w:p w14:paraId="12CE014F">
      <w:pPr>
        <w:pStyle w:val="3"/>
        <w:adjustRightInd/>
        <w:spacing w:before="0" w:after="0" w:line="520" w:lineRule="exact"/>
        <w:jc w:val="both"/>
        <w:textAlignment w:val="auto"/>
        <w:outlineLvl w:val="0"/>
        <w:rPr>
          <w:rFonts w:ascii="黑体" w:hAnsi="黑体" w:cs="黑体"/>
          <w:b w:val="0"/>
          <w:bCs/>
          <w:sz w:val="28"/>
          <w:szCs w:val="28"/>
          <w:highlight w:val="none"/>
        </w:rPr>
      </w:pPr>
      <w:bookmarkStart w:id="46" w:name="_Toc28317"/>
      <w:bookmarkStart w:id="47" w:name="_Toc7807"/>
      <w:bookmarkStart w:id="48" w:name="_Toc21256"/>
      <w:r>
        <w:rPr>
          <w:rFonts w:hint="eastAsia" w:ascii="黑体" w:hAnsi="黑体" w:cs="黑体"/>
          <w:b w:val="0"/>
          <w:bCs/>
          <w:sz w:val="28"/>
          <w:szCs w:val="28"/>
          <w:highlight w:val="none"/>
        </w:rPr>
        <w:t>八、凡对本次采购提出询问，请按以下方式联系。</w:t>
      </w:r>
      <w:bookmarkEnd w:id="42"/>
      <w:bookmarkEnd w:id="43"/>
      <w:bookmarkEnd w:id="44"/>
      <w:bookmarkEnd w:id="45"/>
      <w:bookmarkEnd w:id="46"/>
      <w:bookmarkEnd w:id="47"/>
      <w:bookmarkEnd w:id="48"/>
    </w:p>
    <w:p w14:paraId="28C197CE">
      <w:pPr>
        <w:pageBreakBefore w:val="0"/>
        <w:kinsoku/>
        <w:wordWrap/>
        <w:overflowPunct/>
        <w:topLinePunct w:val="0"/>
        <w:autoSpaceDE/>
        <w:autoSpaceDN/>
        <w:bidi w:val="0"/>
        <w:adjustRightInd/>
        <w:snapToGrid/>
        <w:spacing w:before="0" w:after="0" w:line="520" w:lineRule="exact"/>
        <w:ind w:left="0" w:leftChars="0" w:firstLine="560" w:firstLineChars="200"/>
        <w:jc w:val="both"/>
        <w:textAlignment w:val="auto"/>
        <w:outlineLvl w:val="9"/>
        <w:rPr>
          <w:rFonts w:ascii="仿宋" w:hAnsi="仿宋" w:eastAsia="仿宋" w:cs="仿宋"/>
          <w:b w:val="0"/>
          <w:bCs/>
          <w:sz w:val="28"/>
          <w:szCs w:val="28"/>
          <w:highlight w:val="none"/>
        </w:rPr>
      </w:pPr>
      <w:bookmarkStart w:id="49" w:name="_Toc28359096"/>
      <w:bookmarkStart w:id="50" w:name="_Toc28359019"/>
      <w:bookmarkStart w:id="51" w:name="_Toc35393637"/>
      <w:bookmarkStart w:id="52" w:name="_Toc35393806"/>
      <w:bookmarkStart w:id="53" w:name="_Toc12167"/>
      <w:bookmarkStart w:id="54" w:name="_Toc17822"/>
      <w:r>
        <w:rPr>
          <w:rFonts w:hint="eastAsia" w:ascii="仿宋" w:hAnsi="仿宋" w:eastAsia="仿宋" w:cs="仿宋"/>
          <w:b w:val="0"/>
          <w:bCs/>
          <w:sz w:val="28"/>
          <w:szCs w:val="28"/>
          <w:highlight w:val="none"/>
        </w:rPr>
        <w:t>1、采购人信息</w:t>
      </w:r>
      <w:bookmarkEnd w:id="49"/>
      <w:bookmarkEnd w:id="50"/>
      <w:bookmarkEnd w:id="51"/>
      <w:bookmarkEnd w:id="52"/>
      <w:bookmarkEnd w:id="53"/>
      <w:bookmarkEnd w:id="54"/>
    </w:p>
    <w:p w14:paraId="23BB053E">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名    称：</w:t>
      </w:r>
      <w:r>
        <w:rPr>
          <w:rFonts w:hint="eastAsia" w:ascii="仿宋" w:hAnsi="仿宋" w:eastAsia="仿宋" w:cs="仿宋"/>
          <w:bCs/>
          <w:sz w:val="28"/>
          <w:szCs w:val="28"/>
          <w:highlight w:val="none"/>
          <w:lang w:val="en-US" w:eastAsia="zh-CN"/>
        </w:rPr>
        <w:t>霍山县衡山镇城关中心学校</w:t>
      </w:r>
    </w:p>
    <w:p w14:paraId="5436CCFA">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地    址：</w:t>
      </w:r>
      <w:r>
        <w:rPr>
          <w:rFonts w:hint="eastAsia" w:ascii="仿宋" w:hAnsi="仿宋" w:eastAsia="仿宋" w:cs="仿宋"/>
          <w:bCs/>
          <w:sz w:val="28"/>
          <w:szCs w:val="28"/>
          <w:highlight w:val="none"/>
          <w:lang w:val="en-US" w:eastAsia="zh-CN"/>
        </w:rPr>
        <w:t>霍山县衡山镇诸佛庵西路100号</w:t>
      </w:r>
    </w:p>
    <w:p w14:paraId="2F7628BB">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联系方式：</w:t>
      </w:r>
      <w:bookmarkStart w:id="55" w:name="_Toc28359097"/>
      <w:bookmarkStart w:id="56" w:name="_Toc28359020"/>
      <w:bookmarkStart w:id="57" w:name="_Toc35393638"/>
      <w:bookmarkStart w:id="58" w:name="_Toc35393807"/>
      <w:r>
        <w:rPr>
          <w:rFonts w:hint="eastAsia" w:ascii="仿宋" w:hAnsi="仿宋" w:eastAsia="仿宋" w:cs="仿宋"/>
          <w:bCs/>
          <w:sz w:val="28"/>
          <w:szCs w:val="28"/>
          <w:highlight w:val="none"/>
          <w:lang w:val="en-US" w:eastAsia="zh-CN"/>
        </w:rPr>
        <w:t>18156818959</w:t>
      </w:r>
    </w:p>
    <w:p w14:paraId="6C59CAF2">
      <w:pPr>
        <w:pageBreakBefore w:val="0"/>
        <w:numPr>
          <w:ilvl w:val="0"/>
          <w:numId w:val="0"/>
        </w:numPr>
        <w:kinsoku/>
        <w:wordWrap/>
        <w:overflowPunct/>
        <w:topLinePunct w:val="0"/>
        <w:autoSpaceDE/>
        <w:autoSpaceDN/>
        <w:bidi w:val="0"/>
        <w:adjustRightInd/>
        <w:snapToGrid/>
        <w:spacing w:line="520" w:lineRule="exact"/>
        <w:ind w:left="0" w:leftChars="0" w:firstLine="560" w:firstLineChars="200"/>
        <w:textAlignment w:val="auto"/>
        <w:rPr>
          <w:rFonts w:ascii="仿宋" w:hAnsi="仿宋" w:eastAsia="仿宋" w:cs="仿宋"/>
          <w:bCs/>
          <w:sz w:val="28"/>
          <w:szCs w:val="28"/>
          <w:highlight w:val="none"/>
        </w:rPr>
      </w:pPr>
      <w:r>
        <w:rPr>
          <w:rFonts w:ascii="仿宋" w:hAnsi="仿宋" w:eastAsia="仿宋" w:cs="仿宋"/>
          <w:bCs/>
          <w:kern w:val="2"/>
          <w:sz w:val="28"/>
          <w:szCs w:val="28"/>
          <w:highlight w:val="none"/>
          <w:lang w:val="en-US" w:eastAsia="zh-CN" w:bidi="ar-SA"/>
        </w:rPr>
        <w:t>2、</w:t>
      </w:r>
      <w:r>
        <w:rPr>
          <w:rFonts w:hint="eastAsia" w:ascii="仿宋" w:hAnsi="仿宋" w:eastAsia="仿宋" w:cs="仿宋"/>
          <w:bCs/>
          <w:sz w:val="28"/>
          <w:szCs w:val="28"/>
          <w:highlight w:val="none"/>
        </w:rPr>
        <w:t>采购代理机构信息</w:t>
      </w:r>
      <w:bookmarkEnd w:id="55"/>
      <w:bookmarkEnd w:id="56"/>
      <w:bookmarkEnd w:id="57"/>
      <w:bookmarkEnd w:id="58"/>
      <w:bookmarkStart w:id="59" w:name="_Toc35393808"/>
      <w:bookmarkStart w:id="60" w:name="_Toc35393639"/>
      <w:bookmarkStart w:id="61" w:name="_Toc28359021"/>
      <w:bookmarkStart w:id="62" w:name="_Toc28359098"/>
    </w:p>
    <w:p w14:paraId="47D63E08">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 xml:space="preserve">名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称：</w:t>
      </w:r>
      <w:r>
        <w:rPr>
          <w:rFonts w:hint="eastAsia" w:ascii="仿宋" w:hAnsi="仿宋" w:eastAsia="仿宋" w:cs="仿宋"/>
          <w:bCs/>
          <w:sz w:val="28"/>
          <w:szCs w:val="28"/>
          <w:highlight w:val="none"/>
          <w:lang w:val="en-US" w:eastAsia="zh-CN"/>
        </w:rPr>
        <w:t>安徽大别山工程咨询有限公司</w:t>
      </w:r>
    </w:p>
    <w:p w14:paraId="0223C081">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地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址：</w:t>
      </w:r>
      <w:r>
        <w:rPr>
          <w:rFonts w:hint="eastAsia" w:ascii="仿宋" w:hAnsi="仿宋" w:eastAsia="仿宋" w:cs="仿宋"/>
          <w:bCs/>
          <w:sz w:val="28"/>
          <w:szCs w:val="28"/>
          <w:highlight w:val="none"/>
          <w:lang w:val="en-US" w:eastAsia="zh-CN"/>
        </w:rPr>
        <w:t>霍山县国投大厦2楼</w:t>
      </w:r>
    </w:p>
    <w:p w14:paraId="7488C229">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联系方式：</w:t>
      </w:r>
      <w:r>
        <w:rPr>
          <w:rFonts w:hint="eastAsia" w:ascii="仿宋" w:hAnsi="仿宋" w:eastAsia="仿宋" w:cs="仿宋"/>
          <w:bCs/>
          <w:sz w:val="28"/>
          <w:szCs w:val="28"/>
          <w:highlight w:val="none"/>
          <w:lang w:val="en-US" w:eastAsia="zh-CN"/>
        </w:rPr>
        <w:t>0564-5020033</w:t>
      </w:r>
    </w:p>
    <w:p w14:paraId="44698C24">
      <w:pPr>
        <w:pageBreakBefore w:val="0"/>
        <w:kinsoku/>
        <w:wordWrap/>
        <w:overflowPunct/>
        <w:topLinePunct w:val="0"/>
        <w:autoSpaceDE/>
        <w:autoSpaceDN/>
        <w:bidi w:val="0"/>
        <w:adjustRightInd/>
        <w:snapToGrid/>
        <w:spacing w:line="520" w:lineRule="exact"/>
        <w:ind w:left="0" w:leftChars="0" w:firstLine="560" w:firstLineChars="200"/>
        <w:textAlignment w:val="auto"/>
        <w:rPr>
          <w:rFonts w:ascii="仿宋" w:hAnsi="仿宋" w:eastAsia="仿宋" w:cs="仿宋"/>
          <w:bCs/>
          <w:sz w:val="28"/>
          <w:szCs w:val="28"/>
          <w:highlight w:val="none"/>
        </w:rPr>
      </w:pPr>
      <w:r>
        <w:rPr>
          <w:rFonts w:hint="eastAsia" w:ascii="仿宋" w:hAnsi="仿宋" w:eastAsia="仿宋" w:cs="仿宋"/>
          <w:bCs/>
          <w:sz w:val="28"/>
          <w:szCs w:val="28"/>
          <w:highlight w:val="none"/>
        </w:rPr>
        <w:t>3、项目联系方式</w:t>
      </w:r>
      <w:bookmarkEnd w:id="59"/>
      <w:bookmarkEnd w:id="60"/>
      <w:bookmarkEnd w:id="61"/>
      <w:bookmarkEnd w:id="62"/>
    </w:p>
    <w:p w14:paraId="527A759D">
      <w:pPr>
        <w:pageBreakBefore w:val="0"/>
        <w:widowControl/>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项目联系人：</w:t>
      </w:r>
      <w:r>
        <w:rPr>
          <w:rFonts w:hint="eastAsia" w:ascii="仿宋" w:hAnsi="仿宋" w:eastAsia="仿宋" w:cs="仿宋"/>
          <w:bCs/>
          <w:sz w:val="28"/>
          <w:szCs w:val="28"/>
          <w:highlight w:val="none"/>
          <w:lang w:val="en-US" w:eastAsia="zh-CN"/>
        </w:rPr>
        <w:t>徐工</w:t>
      </w:r>
    </w:p>
    <w:p w14:paraId="24FDD6CB">
      <w:pPr>
        <w:pageBreakBefore w:val="0"/>
        <w:widowControl/>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 xml:space="preserve">电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话：</w:t>
      </w:r>
      <w:r>
        <w:rPr>
          <w:rFonts w:hint="eastAsia" w:ascii="仿宋" w:hAnsi="仿宋" w:eastAsia="仿宋" w:cs="仿宋"/>
          <w:bCs/>
          <w:sz w:val="28"/>
          <w:szCs w:val="28"/>
          <w:highlight w:val="none"/>
          <w:lang w:val="en-US" w:eastAsia="zh-CN"/>
        </w:rPr>
        <w:t>0564-5020033</w:t>
      </w:r>
    </w:p>
    <w:p w14:paraId="12B759B5">
      <w:pPr>
        <w:pStyle w:val="33"/>
        <w:pageBreakBefore w:val="0"/>
        <w:kinsoku/>
        <w:wordWrap/>
        <w:overflowPunct/>
        <w:topLinePunct w:val="0"/>
        <w:autoSpaceDE/>
        <w:autoSpaceDN/>
        <w:bidi w:val="0"/>
        <w:adjustRightInd/>
        <w:snapToGrid/>
        <w:spacing w:line="520" w:lineRule="exact"/>
        <w:ind w:left="0" w:leftChars="0" w:firstLine="560" w:firstLineChars="200"/>
        <w:textAlignment w:val="auto"/>
        <w:rPr>
          <w:rFonts w:ascii="仿宋" w:hAnsi="仿宋" w:eastAsia="仿宋" w:cs="仿宋"/>
          <w:bCs/>
          <w:sz w:val="28"/>
          <w:szCs w:val="28"/>
          <w:highlight w:val="none"/>
        </w:rPr>
      </w:pPr>
    </w:p>
    <w:p w14:paraId="05899C07">
      <w:pPr>
        <w:spacing w:line="520" w:lineRule="exact"/>
        <w:jc w:val="right"/>
        <w:rPr>
          <w:rFonts w:ascii="仿宋" w:hAnsi="仿宋" w:eastAsia="仿宋" w:cs="仿宋"/>
          <w:bCs/>
          <w:sz w:val="28"/>
          <w:szCs w:val="28"/>
          <w:highlight w:val="none"/>
        </w:rPr>
      </w:pPr>
      <w:r>
        <w:rPr>
          <w:rFonts w:hint="eastAsia" w:ascii="仿宋" w:hAnsi="仿宋" w:eastAsia="仿宋" w:cs="仿宋"/>
          <w:bCs/>
          <w:sz w:val="28"/>
          <w:szCs w:val="28"/>
          <w:highlight w:val="non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lang w:val="en-US" w:eastAsia="zh-CN"/>
        </w:rPr>
        <w:t>16</w:t>
      </w:r>
      <w:r>
        <w:rPr>
          <w:rFonts w:hint="eastAsia" w:ascii="仿宋" w:hAnsi="仿宋" w:eastAsia="仿宋" w:cs="仿宋"/>
          <w:bCs/>
          <w:sz w:val="28"/>
          <w:szCs w:val="28"/>
          <w:highlight w:val="none"/>
        </w:rPr>
        <w:t>日</w:t>
      </w:r>
    </w:p>
    <w:p w14:paraId="2CFEE59D">
      <w:pPr>
        <w:rPr>
          <w:rFonts w:ascii="宋体" w:hAnsi="宋体" w:cs="宋体"/>
          <w:sz w:val="28"/>
          <w:szCs w:val="28"/>
          <w:highlight w:val="none"/>
        </w:rPr>
      </w:pPr>
      <w:r>
        <w:rPr>
          <w:rFonts w:hint="eastAsia" w:ascii="宋体" w:hAnsi="宋体" w:cs="宋体"/>
          <w:sz w:val="28"/>
          <w:szCs w:val="28"/>
          <w:highlight w:val="none"/>
        </w:rPr>
        <w:br w:type="page"/>
      </w:r>
    </w:p>
    <w:p w14:paraId="54CA7C85">
      <w:pPr>
        <w:pStyle w:val="2"/>
        <w:spacing w:before="120" w:beforeLines="50" w:after="120" w:afterLines="50" w:line="560" w:lineRule="exact"/>
        <w:jc w:val="center"/>
        <w:outlineLvl w:val="0"/>
        <w:rPr>
          <w:rFonts w:ascii="宋体" w:hAnsi="宋体" w:eastAsia="宋体" w:cs="宋体"/>
          <w:b/>
          <w:bCs/>
          <w:sz w:val="30"/>
          <w:szCs w:val="30"/>
          <w:highlight w:val="none"/>
        </w:rPr>
      </w:pPr>
      <w:bookmarkStart w:id="63" w:name="_Toc21819"/>
      <w:bookmarkStart w:id="64" w:name="_Toc15791"/>
      <w:r>
        <w:rPr>
          <w:rFonts w:hint="eastAsia" w:ascii="宋体" w:hAnsi="宋体" w:eastAsia="宋体" w:cs="宋体"/>
          <w:b/>
          <w:bCs/>
          <w:sz w:val="30"/>
          <w:szCs w:val="30"/>
          <w:highlight w:val="none"/>
        </w:rPr>
        <w:t>一、供应商须知</w:t>
      </w:r>
      <w:bookmarkEnd w:id="63"/>
      <w:bookmarkEnd w:id="64"/>
    </w:p>
    <w:p w14:paraId="11E6416E">
      <w:pPr>
        <w:pStyle w:val="3"/>
        <w:spacing w:before="0" w:after="0" w:line="560" w:lineRule="exact"/>
        <w:jc w:val="center"/>
        <w:rPr>
          <w:rFonts w:ascii="宋体" w:hAnsi="宋体" w:eastAsia="宋体" w:cs="宋体"/>
          <w:sz w:val="24"/>
          <w:szCs w:val="24"/>
          <w:highlight w:val="none"/>
        </w:rPr>
      </w:pPr>
      <w:bookmarkStart w:id="65" w:name="_Toc22568"/>
      <w:r>
        <w:rPr>
          <w:rFonts w:hint="eastAsia" w:ascii="宋体" w:hAnsi="宋体" w:eastAsia="宋体" w:cs="宋体"/>
          <w:sz w:val="24"/>
          <w:szCs w:val="24"/>
          <w:highlight w:val="none"/>
        </w:rPr>
        <w:t>（一）须知前附表</w:t>
      </w:r>
      <w:bookmarkEnd w:id="65"/>
    </w:p>
    <w:tbl>
      <w:tblPr>
        <w:tblStyle w:val="34"/>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502"/>
        <w:gridCol w:w="7308"/>
      </w:tblGrid>
      <w:tr w14:paraId="021F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42B6150A">
            <w:pPr>
              <w:spacing w:line="440" w:lineRule="exact"/>
              <w:jc w:val="center"/>
              <w:rPr>
                <w:rFonts w:ascii="宋体" w:hAnsi="宋体"/>
                <w:b/>
                <w:color w:val="auto"/>
                <w:sz w:val="24"/>
                <w:szCs w:val="24"/>
                <w:highlight w:val="none"/>
              </w:rPr>
            </w:pPr>
            <w:bookmarkStart w:id="66" w:name="_Toc438107743"/>
            <w:bookmarkStart w:id="67" w:name="_Toc363199267"/>
            <w:bookmarkStart w:id="68" w:name="_Toc216158627"/>
            <w:r>
              <w:rPr>
                <w:rFonts w:hint="eastAsia" w:ascii="宋体" w:hAnsi="宋体"/>
                <w:b/>
                <w:color w:val="auto"/>
                <w:sz w:val="24"/>
                <w:szCs w:val="24"/>
                <w:highlight w:val="none"/>
              </w:rPr>
              <w:t>序号</w:t>
            </w:r>
          </w:p>
        </w:tc>
        <w:tc>
          <w:tcPr>
            <w:tcW w:w="1502" w:type="dxa"/>
            <w:vAlign w:val="center"/>
          </w:tcPr>
          <w:p w14:paraId="58775CB8">
            <w:pPr>
              <w:spacing w:line="440" w:lineRule="exact"/>
              <w:jc w:val="center"/>
              <w:rPr>
                <w:rFonts w:ascii="宋体" w:hAnsi="宋体"/>
                <w:b/>
                <w:color w:val="auto"/>
                <w:sz w:val="24"/>
                <w:szCs w:val="24"/>
                <w:highlight w:val="none"/>
              </w:rPr>
            </w:pPr>
            <w:r>
              <w:rPr>
                <w:rFonts w:hint="eastAsia" w:ascii="宋体" w:hAnsi="宋体"/>
                <w:b/>
                <w:color w:val="auto"/>
                <w:sz w:val="24"/>
                <w:szCs w:val="24"/>
                <w:highlight w:val="none"/>
              </w:rPr>
              <w:t>内容</w:t>
            </w:r>
          </w:p>
        </w:tc>
        <w:tc>
          <w:tcPr>
            <w:tcW w:w="7308" w:type="dxa"/>
            <w:vAlign w:val="center"/>
          </w:tcPr>
          <w:p w14:paraId="789CBC88">
            <w:pPr>
              <w:pStyle w:val="88"/>
              <w:widowControl w:val="0"/>
              <w:spacing w:before="0" w:beforeAutospacing="0" w:after="0" w:afterAutospacing="0" w:line="440" w:lineRule="exact"/>
              <w:rPr>
                <w:bCs w:val="0"/>
                <w:color w:val="auto"/>
                <w:kern w:val="2"/>
                <w:sz w:val="24"/>
                <w:szCs w:val="24"/>
                <w:highlight w:val="none"/>
              </w:rPr>
            </w:pPr>
            <w:r>
              <w:rPr>
                <w:rFonts w:hint="eastAsia"/>
                <w:bCs w:val="0"/>
                <w:color w:val="auto"/>
                <w:kern w:val="2"/>
                <w:sz w:val="24"/>
                <w:szCs w:val="24"/>
                <w:highlight w:val="none"/>
              </w:rPr>
              <w:t>说明与要求</w:t>
            </w:r>
          </w:p>
        </w:tc>
      </w:tr>
      <w:tr w14:paraId="1920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14:paraId="0495882A">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w:t>
            </w:r>
          </w:p>
        </w:tc>
        <w:tc>
          <w:tcPr>
            <w:tcW w:w="1502" w:type="dxa"/>
            <w:vAlign w:val="center"/>
          </w:tcPr>
          <w:p w14:paraId="60B508EC">
            <w:pPr>
              <w:spacing w:line="440" w:lineRule="exact"/>
              <w:jc w:val="center"/>
              <w:rPr>
                <w:rFonts w:ascii="宋体" w:hAnsi="宋体"/>
                <w:color w:val="auto"/>
                <w:sz w:val="24"/>
                <w:szCs w:val="24"/>
                <w:highlight w:val="none"/>
              </w:rPr>
            </w:pPr>
            <w:r>
              <w:rPr>
                <w:rFonts w:hint="eastAsia" w:ascii="宋体" w:hAnsi="宋体"/>
                <w:bCs/>
                <w:color w:val="auto"/>
                <w:sz w:val="24"/>
                <w:szCs w:val="24"/>
                <w:highlight w:val="none"/>
              </w:rPr>
              <w:t>采购人</w:t>
            </w:r>
          </w:p>
        </w:tc>
        <w:tc>
          <w:tcPr>
            <w:tcW w:w="7308" w:type="dxa"/>
            <w:vAlign w:val="center"/>
          </w:tcPr>
          <w:p w14:paraId="15F61590">
            <w:pPr>
              <w:spacing w:line="440" w:lineRule="exact"/>
              <w:rPr>
                <w:rFonts w:hint="default" w:eastAsia="宋体"/>
                <w:color w:val="auto"/>
                <w:sz w:val="24"/>
                <w:szCs w:val="24"/>
                <w:highlight w:val="none"/>
                <w:lang w:val="en-US" w:eastAsia="zh-CN"/>
              </w:rPr>
            </w:pPr>
            <w:r>
              <w:rPr>
                <w:rFonts w:hint="eastAsia"/>
                <w:color w:val="auto"/>
                <w:sz w:val="24"/>
                <w:szCs w:val="24"/>
                <w:highlight w:val="none"/>
                <w:lang w:val="en-US" w:eastAsia="zh-CN"/>
              </w:rPr>
              <w:t>霍山县衡山镇城关中心学校</w:t>
            </w:r>
          </w:p>
        </w:tc>
      </w:tr>
      <w:tr w14:paraId="1778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14:paraId="06C4EEA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2</w:t>
            </w:r>
          </w:p>
        </w:tc>
        <w:tc>
          <w:tcPr>
            <w:tcW w:w="1502" w:type="dxa"/>
            <w:vAlign w:val="center"/>
          </w:tcPr>
          <w:p w14:paraId="6E8CBDFC">
            <w:pPr>
              <w:spacing w:line="440" w:lineRule="exact"/>
              <w:jc w:val="center"/>
              <w:rPr>
                <w:rFonts w:ascii="宋体" w:hAnsi="宋体"/>
                <w:bCs/>
                <w:color w:val="auto"/>
                <w:sz w:val="24"/>
                <w:szCs w:val="24"/>
                <w:highlight w:val="none"/>
              </w:rPr>
            </w:pPr>
            <w:r>
              <w:rPr>
                <w:rFonts w:hint="eastAsia" w:ascii="宋体" w:hAnsi="宋体"/>
                <w:color w:val="auto"/>
                <w:sz w:val="24"/>
                <w:szCs w:val="24"/>
                <w:highlight w:val="none"/>
              </w:rPr>
              <w:t>采购代理机构</w:t>
            </w:r>
          </w:p>
        </w:tc>
        <w:tc>
          <w:tcPr>
            <w:tcW w:w="7308" w:type="dxa"/>
            <w:vAlign w:val="center"/>
          </w:tcPr>
          <w:p w14:paraId="1CB5E395">
            <w:pPr>
              <w:spacing w:line="460" w:lineRule="exact"/>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名称：</w:t>
            </w:r>
            <w:r>
              <w:rPr>
                <w:rFonts w:hint="eastAsia" w:ascii="宋体" w:hAnsi="宋体" w:cs="宋体"/>
                <w:color w:val="auto"/>
                <w:sz w:val="24"/>
                <w:szCs w:val="24"/>
                <w:highlight w:val="none"/>
                <w:lang w:eastAsia="zh-CN"/>
              </w:rPr>
              <w:t>安徽大别山工程咨询有限公司</w:t>
            </w:r>
          </w:p>
          <w:p w14:paraId="46E0FC45">
            <w:pPr>
              <w:spacing w:line="440" w:lineRule="exact"/>
              <w:jc w:val="left"/>
              <w:rPr>
                <w:rFonts w:hint="eastAsia" w:eastAsia="宋体"/>
                <w:b/>
                <w:bCs/>
                <w:color w:val="auto"/>
                <w:sz w:val="24"/>
                <w:szCs w:val="24"/>
                <w:highlight w:val="none"/>
                <w:lang w:eastAsia="zh-CN"/>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lang w:eastAsia="zh-CN"/>
              </w:rPr>
              <w:t>霍山县国投大厦2楼</w:t>
            </w:r>
          </w:p>
        </w:tc>
      </w:tr>
      <w:tr w14:paraId="0FAC3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748973F">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3</w:t>
            </w:r>
          </w:p>
        </w:tc>
        <w:tc>
          <w:tcPr>
            <w:tcW w:w="1502" w:type="dxa"/>
            <w:vAlign w:val="center"/>
          </w:tcPr>
          <w:p w14:paraId="24847605">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磋商有效期</w:t>
            </w:r>
          </w:p>
        </w:tc>
        <w:tc>
          <w:tcPr>
            <w:tcW w:w="7308" w:type="dxa"/>
            <w:vAlign w:val="center"/>
          </w:tcPr>
          <w:p w14:paraId="55C36049">
            <w:pPr>
              <w:pStyle w:val="88"/>
              <w:widowControl w:val="0"/>
              <w:spacing w:before="0" w:beforeAutospacing="0" w:after="0" w:afterAutospacing="0" w:line="440" w:lineRule="exact"/>
              <w:jc w:val="both"/>
              <w:rPr>
                <w:b w:val="0"/>
                <w:bCs w:val="0"/>
                <w:color w:val="auto"/>
                <w:sz w:val="24"/>
                <w:szCs w:val="24"/>
                <w:highlight w:val="none"/>
              </w:rPr>
            </w:pPr>
            <w:r>
              <w:rPr>
                <w:rFonts w:hint="eastAsia"/>
                <w:b w:val="0"/>
                <w:bCs w:val="0"/>
                <w:color w:val="auto"/>
                <w:sz w:val="24"/>
                <w:szCs w:val="24"/>
                <w:highlight w:val="none"/>
              </w:rPr>
              <w:t>响应文件提交截止日后</w:t>
            </w:r>
            <w:r>
              <w:rPr>
                <w:rFonts w:hint="eastAsia"/>
                <w:b w:val="0"/>
                <w:bCs w:val="0"/>
                <w:color w:val="auto"/>
                <w:sz w:val="24"/>
                <w:szCs w:val="24"/>
                <w:highlight w:val="none"/>
                <w:lang w:val="en-US" w:eastAsia="zh-CN"/>
              </w:rPr>
              <w:t>20</w:t>
            </w:r>
            <w:r>
              <w:rPr>
                <w:rFonts w:hint="eastAsia"/>
                <w:b w:val="0"/>
                <w:bCs w:val="0"/>
                <w:color w:val="auto"/>
                <w:sz w:val="24"/>
                <w:szCs w:val="24"/>
                <w:highlight w:val="none"/>
              </w:rPr>
              <w:t>天</w:t>
            </w:r>
          </w:p>
        </w:tc>
      </w:tr>
      <w:tr w14:paraId="3787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38CEB959">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lang w:val="en-US"/>
              </w:rPr>
            </w:pPr>
            <w:r>
              <w:rPr>
                <w:rFonts w:hint="eastAsia" w:ascii="宋体" w:hAnsi="宋体"/>
                <w:b/>
                <w:color w:val="auto"/>
                <w:kern w:val="2"/>
                <w:szCs w:val="24"/>
                <w:highlight w:val="none"/>
                <w:lang w:val="en-US"/>
              </w:rPr>
              <w:t>4</w:t>
            </w:r>
          </w:p>
        </w:tc>
        <w:tc>
          <w:tcPr>
            <w:tcW w:w="1502" w:type="dxa"/>
            <w:vAlign w:val="center"/>
          </w:tcPr>
          <w:p w14:paraId="08DE7247">
            <w:pPr>
              <w:spacing w:line="440" w:lineRule="exact"/>
              <w:jc w:val="center"/>
              <w:rPr>
                <w:rFonts w:ascii="宋体" w:hAnsi="宋体"/>
                <w:b/>
                <w:color w:val="auto"/>
                <w:sz w:val="24"/>
                <w:szCs w:val="24"/>
                <w:highlight w:val="none"/>
              </w:rPr>
            </w:pPr>
            <w:r>
              <w:rPr>
                <w:rFonts w:hint="eastAsia" w:ascii="宋体" w:hAnsi="宋体"/>
                <w:color w:val="auto"/>
                <w:sz w:val="24"/>
                <w:szCs w:val="24"/>
                <w:highlight w:val="none"/>
              </w:rPr>
              <w:t>项目类型</w:t>
            </w:r>
          </w:p>
        </w:tc>
        <w:tc>
          <w:tcPr>
            <w:tcW w:w="7308" w:type="dxa"/>
            <w:vAlign w:val="center"/>
          </w:tcPr>
          <w:p w14:paraId="2DA913C4">
            <w:pPr>
              <w:pStyle w:val="88"/>
              <w:widowControl w:val="0"/>
              <w:spacing w:before="0" w:beforeAutospacing="0" w:after="0" w:afterAutospacing="0" w:line="440" w:lineRule="exact"/>
              <w:jc w:val="both"/>
              <w:rPr>
                <w:b w:val="0"/>
                <w:bCs w:val="0"/>
                <w:color w:val="auto"/>
                <w:sz w:val="24"/>
                <w:szCs w:val="24"/>
                <w:highlight w:val="none"/>
              </w:rPr>
            </w:pPr>
            <w:r>
              <w:rPr>
                <w:rFonts w:hint="eastAsia"/>
                <w:b w:val="0"/>
                <w:bCs w:val="0"/>
                <w:color w:val="auto"/>
                <w:sz w:val="24"/>
                <w:szCs w:val="24"/>
                <w:highlight w:val="none"/>
              </w:rPr>
              <w:t>服务类</w:t>
            </w:r>
          </w:p>
        </w:tc>
      </w:tr>
      <w:tr w14:paraId="2DC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DED4C42">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lang w:val="en-US"/>
              </w:rPr>
            </w:pPr>
            <w:r>
              <w:rPr>
                <w:rFonts w:hint="eastAsia" w:ascii="宋体" w:hAnsi="宋体"/>
                <w:b/>
                <w:color w:val="auto"/>
                <w:kern w:val="2"/>
                <w:szCs w:val="24"/>
                <w:highlight w:val="none"/>
                <w:lang w:val="en-US"/>
              </w:rPr>
              <w:t>5</w:t>
            </w:r>
          </w:p>
        </w:tc>
        <w:tc>
          <w:tcPr>
            <w:tcW w:w="1502" w:type="dxa"/>
            <w:vAlign w:val="center"/>
          </w:tcPr>
          <w:p w14:paraId="5E770375">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项目名称</w:t>
            </w:r>
          </w:p>
        </w:tc>
        <w:tc>
          <w:tcPr>
            <w:tcW w:w="7308" w:type="dxa"/>
            <w:vAlign w:val="center"/>
          </w:tcPr>
          <w:p w14:paraId="4CA413D1">
            <w:pPr>
              <w:pStyle w:val="88"/>
              <w:widowControl w:val="0"/>
              <w:spacing w:before="0" w:beforeAutospacing="0" w:after="0" w:afterAutospacing="0" w:line="440" w:lineRule="exact"/>
              <w:jc w:val="both"/>
              <w:rPr>
                <w:rFonts w:hint="default"/>
                <w:color w:val="auto"/>
                <w:sz w:val="24"/>
                <w:szCs w:val="24"/>
                <w:highlight w:val="none"/>
              </w:rPr>
            </w:pPr>
            <w:r>
              <w:rPr>
                <w:rFonts w:hint="eastAsia"/>
                <w:b w:val="0"/>
                <w:bCs w:val="0"/>
                <w:color w:val="auto"/>
                <w:sz w:val="24"/>
                <w:szCs w:val="24"/>
                <w:highlight w:val="none"/>
                <w:lang w:eastAsia="zh-CN"/>
              </w:rPr>
              <w:t>霍山县城关小学食堂劳务派遣项目</w:t>
            </w:r>
          </w:p>
        </w:tc>
      </w:tr>
      <w:tr w14:paraId="2ED0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14:paraId="60C94916">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6</w:t>
            </w:r>
          </w:p>
        </w:tc>
        <w:tc>
          <w:tcPr>
            <w:tcW w:w="1502" w:type="dxa"/>
            <w:vAlign w:val="center"/>
          </w:tcPr>
          <w:p w14:paraId="0E4FB165">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项目编号</w:t>
            </w:r>
          </w:p>
        </w:tc>
        <w:tc>
          <w:tcPr>
            <w:tcW w:w="7308" w:type="dxa"/>
            <w:vAlign w:val="center"/>
          </w:tcPr>
          <w:p w14:paraId="6FB8DD0B">
            <w:pPr>
              <w:pStyle w:val="88"/>
              <w:widowControl w:val="0"/>
              <w:spacing w:before="0" w:beforeAutospacing="0" w:after="0" w:afterAutospacing="0" w:line="440" w:lineRule="exact"/>
              <w:jc w:val="both"/>
              <w:rPr>
                <w:rFonts w:hint="default" w:eastAsia="宋体"/>
                <w:b w:val="0"/>
                <w:color w:val="auto"/>
                <w:sz w:val="24"/>
                <w:szCs w:val="24"/>
                <w:highlight w:val="none"/>
                <w:lang w:val="en-US" w:eastAsia="zh-CN"/>
              </w:rPr>
            </w:pPr>
            <w:r>
              <w:rPr>
                <w:rFonts w:hint="eastAsia"/>
                <w:b w:val="0"/>
                <w:color w:val="auto"/>
                <w:sz w:val="24"/>
                <w:szCs w:val="24"/>
                <w:highlight w:val="none"/>
                <w:lang w:eastAsia="zh-CN"/>
              </w:rPr>
              <w:t>DBSCG-2024-111</w:t>
            </w:r>
          </w:p>
        </w:tc>
      </w:tr>
      <w:tr w14:paraId="6BF80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60" w:hRule="atLeast"/>
          <w:jc w:val="center"/>
        </w:trPr>
        <w:tc>
          <w:tcPr>
            <w:tcW w:w="804" w:type="dxa"/>
            <w:vAlign w:val="center"/>
          </w:tcPr>
          <w:p w14:paraId="725884D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7</w:t>
            </w:r>
          </w:p>
        </w:tc>
        <w:tc>
          <w:tcPr>
            <w:tcW w:w="1502" w:type="dxa"/>
            <w:vAlign w:val="center"/>
          </w:tcPr>
          <w:p w14:paraId="4E8E6C5E">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付款方式</w:t>
            </w:r>
          </w:p>
        </w:tc>
        <w:tc>
          <w:tcPr>
            <w:tcW w:w="7308" w:type="dxa"/>
            <w:vAlign w:val="center"/>
          </w:tcPr>
          <w:p w14:paraId="25B8CB00">
            <w:pPr>
              <w:pStyle w:val="88"/>
              <w:widowControl w:val="0"/>
              <w:spacing w:before="0" w:beforeAutospacing="0" w:after="0" w:afterAutospacing="0" w:line="440" w:lineRule="exact"/>
              <w:jc w:val="both"/>
              <w:rPr>
                <w:rFonts w:hint="eastAsia" w:eastAsia="宋体" w:cs="宋体"/>
                <w:b w:val="0"/>
                <w:bCs/>
                <w:color w:val="auto"/>
                <w:sz w:val="24"/>
                <w:szCs w:val="24"/>
                <w:highlight w:val="none"/>
                <w:shd w:val="clear" w:color="auto" w:fill="FFFFFF"/>
                <w:lang w:eastAsia="zh-CN" w:bidi="ar"/>
              </w:rPr>
            </w:pPr>
            <w:r>
              <w:rPr>
                <w:rFonts w:hint="eastAsia" w:eastAsia="宋体" w:cs="宋体"/>
                <w:b w:val="0"/>
                <w:bCs/>
                <w:color w:val="auto"/>
                <w:sz w:val="24"/>
                <w:szCs w:val="24"/>
                <w:highlight w:val="none"/>
                <w:shd w:val="clear" w:color="auto" w:fill="FFFFFF"/>
                <w:lang w:val="en-US" w:eastAsia="zh-CN" w:bidi="ar"/>
              </w:rPr>
              <w:t>成交后签订</w:t>
            </w:r>
            <w:r>
              <w:rPr>
                <w:rFonts w:hint="eastAsia" w:eastAsia="宋体" w:cs="宋体"/>
                <w:b w:val="0"/>
                <w:bCs/>
                <w:color w:val="auto"/>
                <w:sz w:val="24"/>
                <w:szCs w:val="24"/>
                <w:highlight w:val="none"/>
                <w:shd w:val="clear" w:color="auto" w:fill="FFFFFF"/>
                <w:lang w:eastAsia="zh-CN" w:bidi="ar"/>
              </w:rPr>
              <w:t>合同</w:t>
            </w:r>
            <w:r>
              <w:rPr>
                <w:rFonts w:hint="eastAsia" w:eastAsia="宋体" w:cs="宋体"/>
                <w:b w:val="0"/>
                <w:bCs/>
                <w:color w:val="auto"/>
                <w:sz w:val="24"/>
                <w:szCs w:val="24"/>
                <w:highlight w:val="none"/>
                <w:shd w:val="clear" w:color="auto" w:fill="FFFFFF"/>
                <w:lang w:val="en-US" w:eastAsia="zh-CN" w:bidi="ar"/>
              </w:rPr>
              <w:t>前</w:t>
            </w:r>
            <w:r>
              <w:rPr>
                <w:rFonts w:hint="eastAsia" w:eastAsia="宋体" w:cs="宋体"/>
                <w:b w:val="0"/>
                <w:bCs/>
                <w:color w:val="auto"/>
                <w:sz w:val="24"/>
                <w:szCs w:val="24"/>
                <w:highlight w:val="none"/>
                <w:shd w:val="clear" w:color="auto" w:fill="FFFFFF"/>
                <w:lang w:eastAsia="zh-CN" w:bidi="ar"/>
              </w:rPr>
              <w:t>约定，</w:t>
            </w:r>
            <w:r>
              <w:rPr>
                <w:rFonts w:hint="eastAsia" w:eastAsia="宋体" w:cs="宋体"/>
                <w:b w:val="0"/>
                <w:bCs/>
                <w:color w:val="auto"/>
                <w:sz w:val="24"/>
                <w:szCs w:val="24"/>
                <w:highlight w:val="none"/>
                <w:shd w:val="clear" w:color="auto" w:fill="FFFFFF"/>
                <w:lang w:val="en-US" w:eastAsia="zh-CN" w:bidi="ar"/>
              </w:rPr>
              <w:t>具体以签定合同为准</w:t>
            </w:r>
            <w:r>
              <w:rPr>
                <w:rFonts w:hint="eastAsia" w:eastAsia="宋体" w:cs="宋体"/>
                <w:b w:val="0"/>
                <w:bCs/>
                <w:color w:val="auto"/>
                <w:sz w:val="24"/>
                <w:szCs w:val="24"/>
                <w:highlight w:val="none"/>
                <w:shd w:val="clear" w:color="auto" w:fill="FFFFFF"/>
                <w:lang w:eastAsia="zh-CN" w:bidi="ar"/>
              </w:rPr>
              <w:t>。</w:t>
            </w:r>
          </w:p>
          <w:p w14:paraId="509B3CA1">
            <w:pPr>
              <w:pStyle w:val="88"/>
              <w:widowControl w:val="0"/>
              <w:spacing w:before="0" w:beforeAutospacing="0" w:after="0" w:afterAutospacing="0" w:line="440" w:lineRule="exact"/>
              <w:jc w:val="both"/>
              <w:rPr>
                <w:rFonts w:ascii="黑体" w:hAnsi="黑体" w:eastAsia="黑体" w:cs="黑体"/>
                <w:color w:val="auto"/>
                <w:sz w:val="24"/>
                <w:szCs w:val="24"/>
                <w:highlight w:val="none"/>
              </w:rPr>
            </w:pPr>
            <w:r>
              <w:rPr>
                <w:rFonts w:hint="eastAsia" w:cs="宋体"/>
                <w:color w:val="auto"/>
                <w:sz w:val="24"/>
                <w:szCs w:val="24"/>
                <w:highlight w:val="none"/>
              </w:rPr>
              <w:t>（供应商提交的响应文件中如有关于付款条件的表述与磋商文件规定不符，将被视为实质性不响应，将导致响应无效）</w:t>
            </w:r>
          </w:p>
        </w:tc>
      </w:tr>
      <w:tr w14:paraId="41871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31C74B3D">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8</w:t>
            </w:r>
          </w:p>
        </w:tc>
        <w:tc>
          <w:tcPr>
            <w:tcW w:w="1502" w:type="dxa"/>
            <w:vAlign w:val="center"/>
          </w:tcPr>
          <w:p w14:paraId="3A40DE17">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服务期</w:t>
            </w:r>
          </w:p>
        </w:tc>
        <w:tc>
          <w:tcPr>
            <w:tcW w:w="7308" w:type="dxa"/>
            <w:vAlign w:val="center"/>
          </w:tcPr>
          <w:p w14:paraId="5173C488">
            <w:pPr>
              <w:pStyle w:val="88"/>
              <w:widowControl w:val="0"/>
              <w:spacing w:before="0" w:beforeAutospacing="0" w:after="0" w:afterAutospacing="0" w:line="440" w:lineRule="exact"/>
              <w:jc w:val="both"/>
              <w:rPr>
                <w:b w:val="0"/>
                <w:bCs w:val="0"/>
                <w:color w:val="auto"/>
                <w:sz w:val="24"/>
                <w:szCs w:val="24"/>
                <w:highlight w:val="none"/>
              </w:rPr>
            </w:pPr>
            <w:r>
              <w:rPr>
                <w:rFonts w:hint="eastAsia" w:eastAsia="宋体" w:cs="宋体"/>
                <w:b w:val="0"/>
                <w:bCs/>
                <w:color w:val="auto"/>
                <w:sz w:val="24"/>
                <w:szCs w:val="24"/>
                <w:highlight w:val="none"/>
                <w:shd w:val="clear" w:color="auto" w:fill="FFFFFF"/>
                <w:lang w:eastAsia="zh-CN" w:bidi="ar"/>
              </w:rPr>
              <w:t>经营管理期限为三年（合同一年一签，年度考核合格方可续签下一年合同）</w:t>
            </w:r>
          </w:p>
        </w:tc>
      </w:tr>
      <w:tr w14:paraId="78DB9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76" w:hRule="atLeast"/>
          <w:jc w:val="center"/>
        </w:trPr>
        <w:tc>
          <w:tcPr>
            <w:tcW w:w="804" w:type="dxa"/>
            <w:vAlign w:val="center"/>
          </w:tcPr>
          <w:p w14:paraId="42BAD85C">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9</w:t>
            </w:r>
          </w:p>
        </w:tc>
        <w:tc>
          <w:tcPr>
            <w:tcW w:w="1502" w:type="dxa"/>
            <w:vAlign w:val="center"/>
          </w:tcPr>
          <w:p w14:paraId="75CF87ED">
            <w:pPr>
              <w:pStyle w:val="86"/>
              <w:pBdr>
                <w:bottom w:val="none" w:color="auto" w:sz="0" w:space="0"/>
              </w:pBdr>
              <w:tabs>
                <w:tab w:val="clear" w:pos="4153"/>
                <w:tab w:val="clear" w:pos="8306"/>
              </w:tabs>
              <w:adjustRightInd/>
              <w:spacing w:line="440" w:lineRule="exact"/>
              <w:textAlignment w:val="auto"/>
              <w:rPr>
                <w:rFonts w:ascii="宋体" w:hAnsi="宋体"/>
                <w:color w:val="auto"/>
                <w:szCs w:val="24"/>
                <w:highlight w:val="none"/>
              </w:rPr>
            </w:pPr>
            <w:r>
              <w:rPr>
                <w:rFonts w:hint="eastAsia" w:ascii="宋体" w:hAnsi="宋体"/>
                <w:bCs/>
                <w:color w:val="auto"/>
                <w:kern w:val="2"/>
                <w:szCs w:val="24"/>
                <w:highlight w:val="none"/>
              </w:rPr>
              <w:t>中标服务费</w:t>
            </w:r>
          </w:p>
        </w:tc>
        <w:tc>
          <w:tcPr>
            <w:tcW w:w="7308" w:type="dxa"/>
            <w:vAlign w:val="center"/>
          </w:tcPr>
          <w:p w14:paraId="500DD7F2">
            <w:pPr>
              <w:pStyle w:val="86"/>
              <w:pBdr>
                <w:bottom w:val="none" w:color="auto" w:sz="0" w:space="0"/>
              </w:pBdr>
              <w:tabs>
                <w:tab w:val="clear" w:pos="4153"/>
                <w:tab w:val="clear" w:pos="8306"/>
              </w:tabs>
              <w:adjustRightInd/>
              <w:spacing w:line="440" w:lineRule="exact"/>
              <w:jc w:val="left"/>
              <w:textAlignment w:val="auto"/>
              <w:rPr>
                <w:rFonts w:hint="eastAsia" w:eastAsia="宋体"/>
                <w:bCs/>
                <w:color w:val="auto"/>
                <w:szCs w:val="24"/>
                <w:highlight w:val="none"/>
                <w:lang w:val="en-US" w:eastAsia="zh-CN"/>
              </w:rPr>
            </w:pPr>
            <w:r>
              <w:rPr>
                <w:rFonts w:hint="eastAsia" w:ascii="宋体" w:hAnsi="宋体" w:cs="宋体"/>
                <w:bCs/>
                <w:color w:val="auto"/>
                <w:kern w:val="2"/>
                <w:szCs w:val="24"/>
                <w:highlight w:val="none"/>
                <w:lang w:val="en-US" w:eastAsia="zh-CN"/>
              </w:rPr>
              <w:t>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w:t>
            </w:r>
          </w:p>
        </w:tc>
      </w:tr>
      <w:tr w14:paraId="5B6E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40" w:hRule="atLeast"/>
          <w:jc w:val="center"/>
        </w:trPr>
        <w:tc>
          <w:tcPr>
            <w:tcW w:w="804" w:type="dxa"/>
            <w:vAlign w:val="center"/>
          </w:tcPr>
          <w:p w14:paraId="6B3D1E2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10</w:t>
            </w:r>
          </w:p>
        </w:tc>
        <w:tc>
          <w:tcPr>
            <w:tcW w:w="1502" w:type="dxa"/>
            <w:vAlign w:val="center"/>
          </w:tcPr>
          <w:p w14:paraId="4693A83A">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履约保证金</w:t>
            </w:r>
          </w:p>
        </w:tc>
        <w:tc>
          <w:tcPr>
            <w:tcW w:w="7308" w:type="dxa"/>
            <w:vAlign w:val="center"/>
          </w:tcPr>
          <w:p w14:paraId="02E24808">
            <w:pPr>
              <w:pStyle w:val="33"/>
              <w:ind w:firstLine="0"/>
              <w:jc w:val="center"/>
              <w:rPr>
                <w:rFonts w:hint="eastAsia" w:eastAsia="宋体"/>
                <w:color w:val="auto"/>
                <w:highlight w:val="none"/>
                <w:lang w:eastAsia="zh-CN"/>
              </w:rPr>
            </w:pPr>
            <w:r>
              <w:rPr>
                <w:rFonts w:hint="eastAsia" w:ascii="宋体" w:hAnsi="宋体" w:cs="宋体"/>
                <w:bCs/>
                <w:color w:val="auto"/>
                <w:sz w:val="24"/>
                <w:szCs w:val="32"/>
                <w:highlight w:val="none"/>
                <w:lang w:val="en-US" w:eastAsia="zh-CN"/>
              </w:rPr>
              <w:t>/</w:t>
            </w:r>
          </w:p>
        </w:tc>
      </w:tr>
      <w:tr w14:paraId="01A5F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14:paraId="20D935B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11</w:t>
            </w:r>
          </w:p>
        </w:tc>
        <w:tc>
          <w:tcPr>
            <w:tcW w:w="1502" w:type="dxa"/>
            <w:vAlign w:val="center"/>
          </w:tcPr>
          <w:p w14:paraId="098666DA">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勘察及对接</w:t>
            </w:r>
          </w:p>
        </w:tc>
        <w:tc>
          <w:tcPr>
            <w:tcW w:w="7308" w:type="dxa"/>
            <w:vAlign w:val="center"/>
          </w:tcPr>
          <w:p w14:paraId="592EF403">
            <w:pPr>
              <w:pStyle w:val="86"/>
              <w:pBdr>
                <w:bottom w:val="none" w:color="auto" w:sz="0" w:space="0"/>
              </w:pBdr>
              <w:tabs>
                <w:tab w:val="clear" w:pos="4153"/>
                <w:tab w:val="clear" w:pos="8306"/>
              </w:tabs>
              <w:adjustRightInd/>
              <w:spacing w:line="400" w:lineRule="exact"/>
              <w:jc w:val="both"/>
              <w:textAlignment w:val="auto"/>
              <w:rPr>
                <w:rFonts w:ascii="宋体" w:hAnsi="宋体"/>
                <w:bCs/>
                <w:color w:val="auto"/>
                <w:kern w:val="2"/>
                <w:szCs w:val="24"/>
                <w:highlight w:val="none"/>
              </w:rPr>
            </w:pPr>
            <w:r>
              <w:rPr>
                <w:rFonts w:hint="eastAsia" w:ascii="宋体" w:hAnsi="宋体" w:cs="宋体"/>
                <w:bCs/>
                <w:color w:val="auto"/>
                <w:kern w:val="2"/>
                <w:szCs w:val="24"/>
                <w:highlight w:val="none"/>
              </w:rPr>
              <w:t>请各供应商联系采购单位自行勘踏，采购人免费提供项目实施过程中各项对接协调服务。</w:t>
            </w:r>
          </w:p>
        </w:tc>
      </w:tr>
      <w:tr w14:paraId="712B1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2ED644E9">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12</w:t>
            </w:r>
          </w:p>
        </w:tc>
        <w:tc>
          <w:tcPr>
            <w:tcW w:w="1502" w:type="dxa"/>
            <w:vAlign w:val="center"/>
          </w:tcPr>
          <w:p w14:paraId="1EA99278">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提问与回复</w:t>
            </w:r>
          </w:p>
        </w:tc>
        <w:tc>
          <w:tcPr>
            <w:tcW w:w="7308" w:type="dxa"/>
            <w:vAlign w:val="center"/>
          </w:tcPr>
          <w:p w14:paraId="41709DC9">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1、供应商若对采购文件有关内容存在理解障碍，或认为采购文件表述有模糊不清之处，可通过</w:t>
            </w:r>
            <w:r>
              <w:rPr>
                <w:rFonts w:hint="eastAsia" w:ascii="宋体" w:hAnsi="宋体"/>
                <w:bCs/>
                <w:color w:val="auto"/>
                <w:kern w:val="2"/>
                <w:szCs w:val="24"/>
                <w:highlight w:val="none"/>
                <w:lang w:val="en-US" w:eastAsia="zh-CN"/>
              </w:rPr>
              <w:t>电话联系方式向</w:t>
            </w:r>
            <w:r>
              <w:rPr>
                <w:rFonts w:hint="eastAsia" w:ascii="宋体" w:hAnsi="宋体"/>
                <w:bCs/>
                <w:color w:val="auto"/>
                <w:kern w:val="2"/>
                <w:szCs w:val="24"/>
                <w:highlight w:val="none"/>
              </w:rPr>
              <w:t>采购人（采购代理机构）提出，采购人（采购代理机构）收到供应商提问后将及时回复。该渠道仅接受关于项目的一般性疑问</w:t>
            </w:r>
            <w:r>
              <w:rPr>
                <w:rFonts w:hint="eastAsia" w:ascii="宋体" w:hAnsi="宋体"/>
                <w:b/>
                <w:color w:val="auto"/>
                <w:kern w:val="2"/>
                <w:szCs w:val="24"/>
                <w:highlight w:val="none"/>
              </w:rPr>
              <w:t>（非质疑）</w:t>
            </w:r>
            <w:r>
              <w:rPr>
                <w:rFonts w:hint="eastAsia" w:ascii="宋体" w:hAnsi="宋体"/>
                <w:bCs/>
                <w:color w:val="auto"/>
                <w:kern w:val="2"/>
                <w:szCs w:val="24"/>
                <w:highlight w:val="none"/>
              </w:rPr>
              <w:t>，供应商提问时应当隐藏自身信息，直接提出针对项目的相关疑问即可。</w:t>
            </w:r>
          </w:p>
        </w:tc>
      </w:tr>
      <w:tr w14:paraId="66E02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51DD285B">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13</w:t>
            </w:r>
          </w:p>
        </w:tc>
        <w:tc>
          <w:tcPr>
            <w:tcW w:w="1502" w:type="dxa"/>
            <w:vAlign w:val="center"/>
          </w:tcPr>
          <w:p w14:paraId="638D8EFE">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质疑与答疑</w:t>
            </w:r>
          </w:p>
        </w:tc>
        <w:tc>
          <w:tcPr>
            <w:tcW w:w="7308" w:type="dxa"/>
            <w:vAlign w:val="center"/>
          </w:tcPr>
          <w:p w14:paraId="61883B46">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1、供应商若对采购文件有关内容存在质疑，可通过</w:t>
            </w:r>
            <w:r>
              <w:rPr>
                <w:rFonts w:hint="eastAsia" w:ascii="宋体" w:hAnsi="宋体"/>
                <w:bCs/>
                <w:color w:val="auto"/>
                <w:kern w:val="2"/>
                <w:szCs w:val="24"/>
                <w:highlight w:val="none"/>
                <w:lang w:val="en-US" w:eastAsia="zh-CN"/>
              </w:rPr>
              <w:t>电子邮箱2778078886@qq.com</w:t>
            </w:r>
            <w:r>
              <w:rPr>
                <w:rFonts w:hint="eastAsia" w:ascii="宋体" w:hAnsi="宋体"/>
                <w:bCs/>
                <w:color w:val="auto"/>
                <w:kern w:val="2"/>
                <w:szCs w:val="24"/>
                <w:highlight w:val="none"/>
              </w:rPr>
              <w:t>向采购人（采购代理机构）提出。质疑文件不可匿名，须以附件形式加盖质疑人</w:t>
            </w:r>
            <w:r>
              <w:rPr>
                <w:rFonts w:hint="eastAsia" w:ascii="宋体" w:hAnsi="宋体"/>
                <w:bCs/>
                <w:color w:val="auto"/>
                <w:kern w:val="2"/>
                <w:szCs w:val="24"/>
                <w:highlight w:val="none"/>
                <w:lang w:val="en-US" w:eastAsia="zh-CN"/>
              </w:rPr>
              <w:t>公</w:t>
            </w:r>
            <w:r>
              <w:rPr>
                <w:rFonts w:hint="eastAsia" w:ascii="宋体" w:hAnsi="宋体"/>
                <w:bCs/>
                <w:color w:val="auto"/>
                <w:kern w:val="2"/>
                <w:szCs w:val="24"/>
                <w:highlight w:val="none"/>
              </w:rPr>
              <w:t>章后上传提交。</w:t>
            </w:r>
          </w:p>
          <w:p w14:paraId="73A574E2">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lang w:val="en-US" w:eastAsia="zh-CN"/>
              </w:rPr>
              <w:t>2</w:t>
            </w:r>
            <w:r>
              <w:rPr>
                <w:rFonts w:hint="eastAsia" w:ascii="宋体" w:hAnsi="宋体"/>
                <w:bCs/>
                <w:color w:val="auto"/>
                <w:kern w:val="2"/>
                <w:szCs w:val="24"/>
                <w:highlight w:val="none"/>
              </w:rPr>
              <w:t>、请各潜在供应商在响应截止时间前，务必登录“</w:t>
            </w:r>
            <w:r>
              <w:rPr>
                <w:rFonts w:hint="eastAsia" w:ascii="宋体" w:hAnsi="宋体"/>
                <w:bCs/>
                <w:color w:val="auto"/>
                <w:kern w:val="2"/>
                <w:szCs w:val="24"/>
                <w:highlight w:val="none"/>
                <w:lang w:val="en-US" w:eastAsia="zh-CN"/>
              </w:rPr>
              <w:t>安徽霍山国有资产投资控股集团有限公司（http：//ahdmig.cn/）</w:t>
            </w:r>
            <w:r>
              <w:rPr>
                <w:rFonts w:hint="eastAsia" w:ascii="宋体" w:hAnsi="宋体"/>
                <w:bCs/>
                <w:color w:val="auto"/>
                <w:kern w:val="2"/>
                <w:szCs w:val="24"/>
                <w:highlight w:val="none"/>
              </w:rPr>
              <w:t>，查看是否发布有关项目更正公告。更正公告为采购文件的有效组成部分，一经发布即为视同已通知所有潜在供应商，若因未及时关注而造成的一切后果，由供应商自行承担。</w:t>
            </w:r>
          </w:p>
        </w:tc>
      </w:tr>
      <w:tr w14:paraId="110E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255B67BA">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14</w:t>
            </w:r>
          </w:p>
        </w:tc>
        <w:tc>
          <w:tcPr>
            <w:tcW w:w="1502" w:type="dxa"/>
            <w:vAlign w:val="center"/>
          </w:tcPr>
          <w:p w14:paraId="110ED9E5">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响应文件份数及要求</w:t>
            </w:r>
          </w:p>
        </w:tc>
        <w:tc>
          <w:tcPr>
            <w:tcW w:w="7308" w:type="dxa"/>
            <w:vAlign w:val="center"/>
          </w:tcPr>
          <w:tbl>
            <w:tblPr>
              <w:tblStyle w:val="34"/>
              <w:tblW w:w="10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702"/>
            </w:tblGrid>
            <w:tr w14:paraId="18337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jc w:val="center"/>
              </w:trPr>
              <w:tc>
                <w:tcPr>
                  <w:tcW w:w="7702" w:type="dxa"/>
                  <w:noWrap w:val="0"/>
                  <w:vAlign w:val="center"/>
                </w:tcPr>
                <w:p w14:paraId="14A6B601">
                  <w:pPr>
                    <w:pStyle w:val="86"/>
                    <w:pBdr>
                      <w:bottom w:val="none" w:color="auto" w:sz="0" w:space="0"/>
                    </w:pBdr>
                    <w:tabs>
                      <w:tab w:val="left" w:pos="7350"/>
                      <w:tab w:val="clear" w:pos="4153"/>
                      <w:tab w:val="clear" w:pos="8306"/>
                    </w:tabs>
                    <w:adjustRightInd/>
                    <w:spacing w:line="440" w:lineRule="exact"/>
                    <w:ind w:left="218" w:leftChars="104" w:right="126" w:rightChars="60" w:firstLine="0" w:firstLineChars="0"/>
                    <w:jc w:val="left"/>
                    <w:textAlignment w:val="auto"/>
                    <w:rPr>
                      <w:rFonts w:hint="eastAsia" w:ascii="宋体" w:hAnsi="宋体"/>
                      <w:bCs/>
                      <w:color w:val="auto"/>
                      <w:kern w:val="2"/>
                      <w:szCs w:val="24"/>
                      <w:highlight w:val="none"/>
                    </w:rPr>
                  </w:pPr>
                  <w:r>
                    <w:rPr>
                      <w:rFonts w:hint="eastAsia" w:ascii="宋体" w:hAnsi="宋体"/>
                      <w:bCs/>
                      <w:color w:val="auto"/>
                      <w:kern w:val="2"/>
                      <w:szCs w:val="24"/>
                      <w:highlight w:val="none"/>
                    </w:rPr>
                    <w:t>纸质投标文件一正两副（投标文件应采用牛皮纸袋封装并密封，必须加盖单位公章和法人代表签章，注明日期。“正本”和“副本”要分别装袋并密封）。用A4纸装订成册。</w:t>
                  </w:r>
                </w:p>
              </w:tc>
            </w:tr>
          </w:tbl>
          <w:p w14:paraId="049F725D">
            <w:pPr>
              <w:pStyle w:val="86"/>
              <w:pBdr>
                <w:bottom w:val="none" w:color="auto" w:sz="0" w:space="0"/>
              </w:pBdr>
              <w:tabs>
                <w:tab w:val="clear" w:pos="4153"/>
                <w:tab w:val="clear" w:pos="8306"/>
              </w:tabs>
              <w:adjustRightInd/>
              <w:spacing w:line="440" w:lineRule="exact"/>
              <w:jc w:val="left"/>
              <w:textAlignment w:val="auto"/>
              <w:rPr>
                <w:rFonts w:hint="eastAsia" w:ascii="宋体" w:hAnsi="宋体"/>
                <w:bCs/>
                <w:color w:val="auto"/>
                <w:kern w:val="2"/>
                <w:szCs w:val="24"/>
                <w:highlight w:val="none"/>
              </w:rPr>
            </w:pPr>
          </w:p>
        </w:tc>
      </w:tr>
      <w:tr w14:paraId="060E9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552822E6">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15</w:t>
            </w:r>
          </w:p>
        </w:tc>
        <w:tc>
          <w:tcPr>
            <w:tcW w:w="1502" w:type="dxa"/>
            <w:vAlign w:val="center"/>
          </w:tcPr>
          <w:p w14:paraId="733909AD">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递交响应文件注意事项</w:t>
            </w:r>
          </w:p>
        </w:tc>
        <w:tc>
          <w:tcPr>
            <w:tcW w:w="7308" w:type="dxa"/>
            <w:vAlign w:val="center"/>
          </w:tcPr>
          <w:p w14:paraId="20689B14">
            <w:pPr>
              <w:pStyle w:val="86"/>
              <w:pBdr>
                <w:bottom w:val="none" w:color="auto" w:sz="0" w:space="0"/>
              </w:pBdr>
              <w:tabs>
                <w:tab w:val="clear" w:pos="4153"/>
                <w:tab w:val="clear" w:pos="8306"/>
              </w:tabs>
              <w:adjustRightInd/>
              <w:spacing w:line="440" w:lineRule="exact"/>
              <w:jc w:val="left"/>
              <w:textAlignment w:val="auto"/>
              <w:rPr>
                <w:rFonts w:hint="eastAsia" w:ascii="宋体" w:hAnsi="宋体"/>
                <w:bCs/>
                <w:color w:val="auto"/>
                <w:kern w:val="2"/>
                <w:szCs w:val="24"/>
                <w:highlight w:val="none"/>
              </w:rPr>
            </w:pPr>
            <w:r>
              <w:rPr>
                <w:rFonts w:hint="eastAsia" w:ascii="宋体" w:hAnsi="宋体"/>
                <w:bCs/>
                <w:color w:val="auto"/>
                <w:kern w:val="2"/>
                <w:szCs w:val="24"/>
                <w:highlight w:val="none"/>
              </w:rPr>
              <w:t>响应文件必须在响应截止时间前现场递交。</w:t>
            </w:r>
          </w:p>
        </w:tc>
      </w:tr>
      <w:tr w14:paraId="78D06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14:paraId="70399D6E">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16</w:t>
            </w:r>
          </w:p>
        </w:tc>
        <w:tc>
          <w:tcPr>
            <w:tcW w:w="1502" w:type="dxa"/>
            <w:vAlign w:val="center"/>
          </w:tcPr>
          <w:p w14:paraId="12D3C6B5">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备注一</w:t>
            </w:r>
          </w:p>
        </w:tc>
        <w:tc>
          <w:tcPr>
            <w:tcW w:w="7308" w:type="dxa"/>
            <w:vAlign w:val="center"/>
          </w:tcPr>
          <w:p w14:paraId="2F19C3E4">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1、存在以下不良信用记录情形之一的，不得推荐为成交候选供应商,评审时磋商小组应当按照下列第3条不良信用记录查询渠道对供应商是否存在不良信用记录进行查询：</w:t>
            </w:r>
          </w:p>
          <w:p w14:paraId="2A241848">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（1）供应商被人民法院列入失信被执行人的；</w:t>
            </w:r>
          </w:p>
          <w:p w14:paraId="20CD08B5">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（2）供应商被市场监督管理部门列入</w:t>
            </w:r>
            <w:r>
              <w:rPr>
                <w:rFonts w:hint="eastAsia" w:ascii="宋体" w:hAnsi="宋体"/>
                <w:bCs/>
                <w:color w:val="auto"/>
                <w:kern w:val="2"/>
                <w:szCs w:val="24"/>
                <w:highlight w:val="none"/>
                <w:lang w:eastAsia="zh-CN"/>
              </w:rPr>
              <w:t>严重违法失信企业</w:t>
            </w:r>
            <w:r>
              <w:rPr>
                <w:rFonts w:hint="eastAsia" w:ascii="宋体" w:hAnsi="宋体"/>
                <w:bCs/>
                <w:color w:val="auto"/>
                <w:kern w:val="2"/>
                <w:szCs w:val="24"/>
                <w:highlight w:val="none"/>
              </w:rPr>
              <w:t>名录的；</w:t>
            </w:r>
          </w:p>
          <w:p w14:paraId="6D6862E8">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（3）供应商被税务部门列入重大税收违法案件当事人名单的；</w:t>
            </w:r>
          </w:p>
          <w:p w14:paraId="4683B38B">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（4）供应商被政府采购监管部门列入政府采购严重违法失信行为记录名单的。</w:t>
            </w:r>
          </w:p>
          <w:p w14:paraId="7CA9B1C6">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2、不良信用记录查询渠道如下：</w:t>
            </w:r>
          </w:p>
          <w:p w14:paraId="1F29CC21">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（1）失信被执行人：信用中国官网（www.creditchina.gov.cn）</w:t>
            </w:r>
          </w:p>
          <w:p w14:paraId="6E5F226C">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（2）</w:t>
            </w:r>
            <w:r>
              <w:rPr>
                <w:rFonts w:hint="eastAsia" w:ascii="宋体" w:hAnsi="宋体"/>
                <w:bCs/>
                <w:color w:val="auto"/>
                <w:kern w:val="2"/>
                <w:szCs w:val="24"/>
                <w:highlight w:val="none"/>
                <w:lang w:eastAsia="zh-CN"/>
              </w:rPr>
              <w:t>严重违法失信企业</w:t>
            </w:r>
            <w:r>
              <w:rPr>
                <w:rFonts w:hint="eastAsia" w:ascii="宋体" w:hAnsi="宋体"/>
                <w:bCs/>
                <w:color w:val="auto"/>
                <w:kern w:val="2"/>
                <w:szCs w:val="24"/>
                <w:highlight w:val="none"/>
              </w:rPr>
              <w:t>名录：信用中国官网（www.creditchina.gov.cn）</w:t>
            </w:r>
          </w:p>
          <w:p w14:paraId="3ECD5EDD">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（3）重大税收违法案件当事人名单：信用中国官网（www.creditchina.gov.cn）</w:t>
            </w:r>
          </w:p>
          <w:p w14:paraId="0EA3D568">
            <w:pPr>
              <w:pStyle w:val="86"/>
              <w:pBdr>
                <w:bottom w:val="none" w:color="auto" w:sz="0" w:space="0"/>
              </w:pBdr>
              <w:tabs>
                <w:tab w:val="clear" w:pos="4153"/>
                <w:tab w:val="clear" w:pos="8306"/>
              </w:tabs>
              <w:adjustRightInd/>
              <w:spacing w:line="440" w:lineRule="exact"/>
              <w:jc w:val="left"/>
              <w:textAlignment w:val="auto"/>
              <w:rPr>
                <w:rFonts w:hint="eastAsia" w:ascii="宋体" w:hAnsi="宋体"/>
                <w:bCs/>
                <w:color w:val="auto"/>
                <w:kern w:val="2"/>
                <w:szCs w:val="24"/>
                <w:highlight w:val="none"/>
              </w:rPr>
            </w:pPr>
            <w:r>
              <w:rPr>
                <w:rFonts w:hint="eastAsia" w:ascii="宋体" w:hAnsi="宋体"/>
                <w:bCs/>
                <w:color w:val="auto"/>
                <w:kern w:val="2"/>
                <w:szCs w:val="24"/>
                <w:highlight w:val="none"/>
              </w:rPr>
              <w:t>（4）政府采购严重违法失信行为记录名单：中国政府采购官网（www.ccgp.gov.cn）</w:t>
            </w:r>
          </w:p>
        </w:tc>
      </w:tr>
      <w:tr w14:paraId="08FE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34932568">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17</w:t>
            </w:r>
          </w:p>
        </w:tc>
        <w:tc>
          <w:tcPr>
            <w:tcW w:w="1502" w:type="dxa"/>
            <w:vAlign w:val="center"/>
          </w:tcPr>
          <w:p w14:paraId="6AE03F09">
            <w:pPr>
              <w:pStyle w:val="86"/>
              <w:pBdr>
                <w:bottom w:val="none" w:color="auto" w:sz="0" w:space="0"/>
              </w:pBdr>
              <w:tabs>
                <w:tab w:val="clear" w:pos="4153"/>
                <w:tab w:val="clear" w:pos="8306"/>
              </w:tabs>
              <w:adjustRightInd/>
              <w:spacing w:line="440" w:lineRule="exact"/>
              <w:textAlignment w:val="auto"/>
              <w:rPr>
                <w:rFonts w:ascii="宋体" w:hAnsi="宋体" w:eastAsia="宋体" w:cs="Times New Roman"/>
                <w:bCs/>
                <w:color w:val="auto"/>
                <w:kern w:val="2"/>
                <w:sz w:val="24"/>
                <w:szCs w:val="24"/>
                <w:highlight w:val="none"/>
                <w:lang w:val="zh-CN" w:eastAsia="zh-CN" w:bidi="ar-SA"/>
              </w:rPr>
            </w:pPr>
            <w:r>
              <w:rPr>
                <w:rFonts w:hint="eastAsia" w:ascii="宋体" w:hAnsi="宋体"/>
                <w:bCs/>
                <w:color w:val="auto"/>
                <w:kern w:val="2"/>
                <w:szCs w:val="24"/>
                <w:highlight w:val="none"/>
              </w:rPr>
              <w:t>备注二</w:t>
            </w:r>
          </w:p>
        </w:tc>
        <w:tc>
          <w:tcPr>
            <w:tcW w:w="7308" w:type="dxa"/>
            <w:vAlign w:val="center"/>
          </w:tcPr>
          <w:p w14:paraId="2F87BAFE">
            <w:pPr>
              <w:pStyle w:val="86"/>
              <w:pBdr>
                <w:bottom w:val="none" w:color="auto" w:sz="0" w:space="0"/>
              </w:pBdr>
              <w:tabs>
                <w:tab w:val="clear" w:pos="4153"/>
                <w:tab w:val="clear" w:pos="8306"/>
              </w:tabs>
              <w:adjustRightInd/>
              <w:spacing w:line="440" w:lineRule="exact"/>
              <w:jc w:val="left"/>
              <w:textAlignment w:val="auto"/>
              <w:rPr>
                <w:rFonts w:ascii="宋体" w:hAnsi="宋体" w:eastAsia="宋体" w:cs="Times New Roman"/>
                <w:bCs/>
                <w:color w:val="auto"/>
                <w:kern w:val="2"/>
                <w:sz w:val="24"/>
                <w:szCs w:val="24"/>
                <w:highlight w:val="none"/>
                <w:lang w:val="zh-CN" w:eastAsia="zh-CN" w:bidi="ar-SA"/>
              </w:rPr>
            </w:pPr>
            <w:r>
              <w:rPr>
                <w:rFonts w:hint="eastAsia" w:ascii="宋体" w:hAnsi="宋体"/>
                <w:bCs/>
                <w:color w:val="auto"/>
                <w:kern w:val="2"/>
                <w:szCs w:val="24"/>
                <w:highlight w:val="none"/>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2BCC8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45C951A4">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18</w:t>
            </w:r>
          </w:p>
        </w:tc>
        <w:tc>
          <w:tcPr>
            <w:tcW w:w="1502" w:type="dxa"/>
            <w:vAlign w:val="center"/>
          </w:tcPr>
          <w:p w14:paraId="56A7CB22">
            <w:pPr>
              <w:pStyle w:val="86"/>
              <w:pBdr>
                <w:bottom w:val="none" w:color="auto" w:sz="0" w:space="0"/>
              </w:pBdr>
              <w:tabs>
                <w:tab w:val="clear" w:pos="4153"/>
                <w:tab w:val="clear" w:pos="8306"/>
              </w:tabs>
              <w:adjustRightInd/>
              <w:spacing w:line="440" w:lineRule="exact"/>
              <w:textAlignment w:val="auto"/>
              <w:rPr>
                <w:rFonts w:hint="eastAsia" w:ascii="宋体" w:hAnsi="宋体" w:eastAsia="宋体" w:cs="Times New Roman"/>
                <w:bCs/>
                <w:color w:val="auto"/>
                <w:kern w:val="2"/>
                <w:sz w:val="24"/>
                <w:szCs w:val="24"/>
                <w:highlight w:val="none"/>
                <w:lang w:val="zh-CN" w:eastAsia="zh-CN" w:bidi="ar-SA"/>
              </w:rPr>
            </w:pPr>
            <w:r>
              <w:rPr>
                <w:rFonts w:hint="eastAsia" w:ascii="Times New Roman" w:hAnsi="Times New Roman"/>
                <w:color w:val="auto"/>
                <w:highlight w:val="none"/>
              </w:rPr>
              <w:t>中标（成交）通知书发出的形式</w:t>
            </w:r>
          </w:p>
        </w:tc>
        <w:tc>
          <w:tcPr>
            <w:tcW w:w="7308" w:type="dxa"/>
            <w:vAlign w:val="center"/>
          </w:tcPr>
          <w:p w14:paraId="2D820052">
            <w:pPr>
              <w:pStyle w:val="86"/>
              <w:pBdr>
                <w:bottom w:val="none" w:color="auto" w:sz="0" w:space="0"/>
              </w:pBdr>
              <w:tabs>
                <w:tab w:val="clear" w:pos="4153"/>
                <w:tab w:val="clear" w:pos="8306"/>
              </w:tabs>
              <w:adjustRightInd/>
              <w:spacing w:line="440" w:lineRule="exact"/>
              <w:jc w:val="left"/>
              <w:textAlignment w:val="auto"/>
              <w:rPr>
                <w:rFonts w:ascii="宋体" w:hAnsi="宋体" w:eastAsia="宋体" w:cs="Times New Roman"/>
                <w:bCs/>
                <w:color w:val="auto"/>
                <w:kern w:val="2"/>
                <w:sz w:val="24"/>
                <w:szCs w:val="24"/>
                <w:highlight w:val="none"/>
                <w:lang w:val="zh-CN" w:eastAsia="zh-CN" w:bidi="ar-SA"/>
              </w:rPr>
            </w:pPr>
            <w:r>
              <w:rPr>
                <w:rFonts w:hint="eastAsia" w:ascii="宋体" w:hAnsi="宋体"/>
                <w:bCs/>
                <w:color w:val="auto"/>
                <w:sz w:val="24"/>
                <w:szCs w:val="24"/>
                <w:highlight w:val="none"/>
              </w:rPr>
              <w:t>纸质</w:t>
            </w:r>
          </w:p>
        </w:tc>
      </w:tr>
    </w:tbl>
    <w:p w14:paraId="7DE23487">
      <w:pPr>
        <w:rPr>
          <w:rFonts w:ascii="宋体" w:hAnsi="宋体" w:cs="宋体"/>
          <w:szCs w:val="24"/>
          <w:highlight w:val="none"/>
        </w:rPr>
      </w:pPr>
    </w:p>
    <w:p w14:paraId="209F3FC3">
      <w:pPr>
        <w:pStyle w:val="3"/>
        <w:spacing w:before="120" w:beforeLines="50" w:after="120" w:afterLines="50" w:line="520" w:lineRule="exact"/>
        <w:jc w:val="center"/>
        <w:rPr>
          <w:rFonts w:ascii="宋体" w:hAnsi="宋体" w:eastAsia="宋体" w:cs="宋体"/>
          <w:sz w:val="24"/>
          <w:szCs w:val="24"/>
          <w:highlight w:val="none"/>
        </w:rPr>
      </w:pPr>
      <w:bookmarkStart w:id="69" w:name="_Toc14333"/>
      <w:r>
        <w:rPr>
          <w:rFonts w:hint="eastAsia" w:ascii="宋体" w:hAnsi="宋体" w:eastAsia="宋体" w:cs="宋体"/>
          <w:sz w:val="24"/>
          <w:szCs w:val="24"/>
          <w:highlight w:val="none"/>
        </w:rPr>
        <w:t>（二）供应商资格</w:t>
      </w:r>
      <w:bookmarkEnd w:id="69"/>
    </w:p>
    <w:bookmarkEnd w:id="66"/>
    <w:p w14:paraId="021CE02C">
      <w:pPr>
        <w:pStyle w:val="33"/>
        <w:spacing w:line="520" w:lineRule="exact"/>
        <w:ind w:firstLine="480" w:firstLineChars="200"/>
        <w:rPr>
          <w:rFonts w:hint="eastAsia" w:eastAsia="宋体"/>
          <w:highlight w:val="none"/>
          <w:lang w:eastAsia="zh-CN"/>
        </w:rPr>
      </w:pPr>
      <w:bookmarkStart w:id="70" w:name="_Toc216158625"/>
      <w:bookmarkStart w:id="71" w:name="_Toc438648662"/>
      <w:bookmarkStart w:id="72" w:name="_Toc363199266"/>
      <w:r>
        <w:rPr>
          <w:rFonts w:hint="eastAsia"/>
          <w:highlight w:val="none"/>
        </w:rPr>
        <w:t>见本项目采购公告</w:t>
      </w:r>
      <w:r>
        <w:rPr>
          <w:rFonts w:hint="eastAsia"/>
          <w:highlight w:val="none"/>
          <w:lang w:eastAsia="zh-CN"/>
        </w:rPr>
        <w:t>。</w:t>
      </w:r>
    </w:p>
    <w:p w14:paraId="31D8512D">
      <w:pPr>
        <w:pStyle w:val="3"/>
        <w:spacing w:before="120" w:beforeLines="50" w:after="120" w:afterLines="50" w:line="520" w:lineRule="exact"/>
        <w:jc w:val="center"/>
        <w:rPr>
          <w:rFonts w:ascii="宋体" w:hAnsi="宋体" w:eastAsia="宋体" w:cs="宋体"/>
          <w:sz w:val="24"/>
          <w:szCs w:val="24"/>
          <w:highlight w:val="none"/>
        </w:rPr>
      </w:pPr>
      <w:bookmarkStart w:id="73" w:name="_Toc9435"/>
      <w:r>
        <w:rPr>
          <w:rFonts w:hint="eastAsia" w:ascii="宋体" w:hAnsi="宋体" w:eastAsia="宋体" w:cs="宋体"/>
          <w:sz w:val="24"/>
          <w:szCs w:val="24"/>
          <w:highlight w:val="none"/>
        </w:rPr>
        <w:t>（三）供应商必须提交的响应文件内容</w:t>
      </w:r>
      <w:bookmarkEnd w:id="70"/>
      <w:bookmarkEnd w:id="71"/>
      <w:bookmarkEnd w:id="72"/>
      <w:bookmarkEnd w:id="73"/>
    </w:p>
    <w:p w14:paraId="36902EE3">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1、报价单；</w:t>
      </w:r>
    </w:p>
    <w:p w14:paraId="2ADF34BB">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2、供应商基本信息；</w:t>
      </w:r>
    </w:p>
    <w:p w14:paraId="7F06CA15">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3、磋商授权书；</w:t>
      </w:r>
    </w:p>
    <w:p w14:paraId="060D5FBE">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4、磋商响应函；</w:t>
      </w:r>
    </w:p>
    <w:p w14:paraId="2F927A58">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5、无重大违法记录声明函、无不良信用记录承诺函；</w:t>
      </w:r>
    </w:p>
    <w:p w14:paraId="1A48AE0C">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6、响应情况表；</w:t>
      </w:r>
    </w:p>
    <w:p w14:paraId="794E90C0">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7、相关服务承诺函；</w:t>
      </w:r>
    </w:p>
    <w:p w14:paraId="4BD21BAA">
      <w:pPr>
        <w:spacing w:line="520" w:lineRule="exact"/>
        <w:ind w:firstLine="480" w:firstLineChars="200"/>
        <w:jc w:val="left"/>
        <w:rPr>
          <w:rFonts w:ascii="宋体" w:hAnsi="宋体" w:cs="宋体"/>
          <w:sz w:val="24"/>
          <w:szCs w:val="24"/>
          <w:highlight w:val="none"/>
        </w:rPr>
      </w:pPr>
      <w:r>
        <w:rPr>
          <w:rFonts w:hint="eastAsia" w:ascii="宋体" w:hAnsi="宋体"/>
          <w:sz w:val="24"/>
          <w:szCs w:val="24"/>
          <w:highlight w:val="none"/>
        </w:rPr>
        <w:t>8、磋商文件要求和供应商认为需要提供的其它说明和资料。</w:t>
      </w:r>
    </w:p>
    <w:p w14:paraId="5D23E9D5">
      <w:pPr>
        <w:pStyle w:val="3"/>
        <w:spacing w:before="120" w:beforeLines="50" w:after="120" w:afterLines="50" w:line="520" w:lineRule="exact"/>
        <w:jc w:val="center"/>
        <w:rPr>
          <w:rFonts w:ascii="宋体" w:hAnsi="宋体" w:eastAsia="宋体" w:cs="宋体"/>
          <w:sz w:val="24"/>
          <w:szCs w:val="24"/>
          <w:highlight w:val="none"/>
        </w:rPr>
      </w:pPr>
      <w:bookmarkStart w:id="74" w:name="_Toc9883"/>
      <w:r>
        <w:rPr>
          <w:rFonts w:hint="eastAsia" w:ascii="宋体" w:hAnsi="宋体" w:eastAsia="宋体" w:cs="宋体"/>
          <w:sz w:val="24"/>
          <w:szCs w:val="24"/>
          <w:highlight w:val="none"/>
        </w:rPr>
        <w:t>（四）响应文件的提交</w:t>
      </w:r>
      <w:bookmarkEnd w:id="74"/>
    </w:p>
    <w:bookmarkEnd w:id="67"/>
    <w:bookmarkEnd w:id="68"/>
    <w:p w14:paraId="2F91C0BF">
      <w:pPr>
        <w:pStyle w:val="15"/>
        <w:spacing w:line="500" w:lineRule="exact"/>
        <w:ind w:firstLine="482" w:firstLineChars="200"/>
        <w:rPr>
          <w:rFonts w:hAnsi="宋体"/>
          <w:b/>
          <w:sz w:val="24"/>
          <w:szCs w:val="24"/>
          <w:highlight w:val="none"/>
        </w:rPr>
      </w:pPr>
      <w:bookmarkStart w:id="75" w:name="_Toc15950"/>
      <w:bookmarkStart w:id="76" w:name="_Toc32682"/>
      <w:r>
        <w:rPr>
          <w:rFonts w:hint="eastAsia" w:hAnsi="宋体"/>
          <w:b/>
          <w:sz w:val="24"/>
          <w:szCs w:val="24"/>
          <w:highlight w:val="none"/>
        </w:rPr>
        <w:t>1、响应文件的密封和标记</w:t>
      </w:r>
    </w:p>
    <w:p w14:paraId="793E0202">
      <w:pPr>
        <w:pStyle w:val="15"/>
        <w:spacing w:line="500" w:lineRule="exact"/>
        <w:ind w:firstLine="480" w:firstLineChars="200"/>
        <w:rPr>
          <w:rFonts w:hAnsi="宋体"/>
          <w:bCs/>
          <w:sz w:val="24"/>
          <w:szCs w:val="24"/>
          <w:highlight w:val="none"/>
        </w:rPr>
      </w:pPr>
      <w:r>
        <w:rPr>
          <w:rFonts w:hint="eastAsia" w:hAnsi="宋体"/>
          <w:bCs/>
          <w:sz w:val="24"/>
          <w:szCs w:val="24"/>
          <w:highlight w:val="none"/>
        </w:rPr>
        <w:t>1.1响应文件应密封并应在封口处加盖供应商单位公章。</w:t>
      </w:r>
    </w:p>
    <w:p w14:paraId="01228A39">
      <w:pPr>
        <w:pStyle w:val="15"/>
        <w:spacing w:line="500" w:lineRule="exact"/>
        <w:ind w:firstLine="480" w:firstLineChars="200"/>
        <w:rPr>
          <w:rFonts w:hAnsi="宋体"/>
          <w:bCs/>
          <w:sz w:val="24"/>
          <w:szCs w:val="24"/>
          <w:highlight w:val="none"/>
        </w:rPr>
      </w:pPr>
      <w:r>
        <w:rPr>
          <w:rFonts w:hint="eastAsia" w:hAnsi="宋体"/>
          <w:bCs/>
          <w:sz w:val="24"/>
          <w:szCs w:val="24"/>
          <w:highlight w:val="none"/>
        </w:rPr>
        <w:t>1.2供应商可在响应文件表面将采购项目编号、项目名称、单位名称信息写上。</w:t>
      </w:r>
    </w:p>
    <w:p w14:paraId="44200AB4">
      <w:pPr>
        <w:pStyle w:val="15"/>
        <w:spacing w:line="500" w:lineRule="exact"/>
        <w:ind w:firstLine="482" w:firstLineChars="200"/>
        <w:rPr>
          <w:rFonts w:hAnsi="宋体"/>
          <w:b/>
          <w:sz w:val="24"/>
          <w:szCs w:val="24"/>
          <w:highlight w:val="none"/>
        </w:rPr>
      </w:pPr>
      <w:r>
        <w:rPr>
          <w:rFonts w:hint="eastAsia" w:hAnsi="宋体"/>
          <w:b/>
          <w:sz w:val="24"/>
          <w:szCs w:val="24"/>
          <w:highlight w:val="none"/>
        </w:rPr>
        <w:t>2、响应文件的提交</w:t>
      </w:r>
    </w:p>
    <w:p w14:paraId="149200F8">
      <w:pPr>
        <w:pStyle w:val="15"/>
        <w:spacing w:line="500" w:lineRule="exact"/>
        <w:ind w:firstLine="480" w:firstLineChars="200"/>
        <w:rPr>
          <w:rFonts w:hAnsi="宋体"/>
          <w:bCs/>
          <w:sz w:val="24"/>
          <w:szCs w:val="24"/>
          <w:highlight w:val="none"/>
        </w:rPr>
      </w:pPr>
      <w:r>
        <w:rPr>
          <w:rFonts w:hint="eastAsia" w:hAnsi="宋体"/>
          <w:bCs/>
          <w:sz w:val="24"/>
          <w:szCs w:val="24"/>
          <w:highlight w:val="none"/>
        </w:rPr>
        <w:t>2.1供应商应按须知前附表规定的时间、地点，于响应文件提交截止时间前现场签到并提交响应文件。</w:t>
      </w:r>
    </w:p>
    <w:p w14:paraId="78F2DEE7">
      <w:pPr>
        <w:pStyle w:val="15"/>
        <w:spacing w:line="500" w:lineRule="exact"/>
        <w:ind w:firstLine="480" w:firstLineChars="200"/>
        <w:rPr>
          <w:rFonts w:hAnsi="宋体"/>
          <w:bCs/>
          <w:sz w:val="24"/>
          <w:szCs w:val="24"/>
          <w:highlight w:val="none"/>
        </w:rPr>
      </w:pPr>
      <w:r>
        <w:rPr>
          <w:rFonts w:hint="eastAsia" w:hAnsi="宋体"/>
          <w:bCs/>
          <w:sz w:val="24"/>
          <w:szCs w:val="24"/>
          <w:highlight w:val="none"/>
        </w:rPr>
        <w:t>2.2在采购文件规定的响应文件提交截止时间以后递交的响应文件将被拒绝并退还给供应商。</w:t>
      </w:r>
    </w:p>
    <w:p w14:paraId="62A44BCD">
      <w:pPr>
        <w:pStyle w:val="3"/>
        <w:spacing w:before="120" w:beforeLines="50" w:after="120" w:afterLines="50" w:line="5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（五）磋商程序</w:t>
      </w:r>
      <w:bookmarkEnd w:id="75"/>
      <w:bookmarkEnd w:id="76"/>
    </w:p>
    <w:p w14:paraId="3FE9C279">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1、磋商人员是按规定组成的三人或三人以上的磋商小组。</w:t>
      </w:r>
    </w:p>
    <w:p w14:paraId="6DEF2A2B">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2、在掌握了供应商的基本情况后，磋商小组与供应商分别进行磋商。</w:t>
      </w:r>
    </w:p>
    <w:p w14:paraId="6DC1C951">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3、磋商是分别单独进行的。供应商不得与其他参与磋商的供应商相互串通；磋商小组也不得将与某一供应商的磋商情况向其他供应商及其关系人透露。</w:t>
      </w:r>
    </w:p>
    <w:p w14:paraId="6974E0B1">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4、磋商采用一轮磋商、两轮报价的方式进行。但最终采取多少轮磋商，由磋商小组视情况而定。</w:t>
      </w:r>
    </w:p>
    <w:p w14:paraId="626725D5">
      <w:pPr>
        <w:spacing w:before="0" w:after="0" w:line="520" w:lineRule="exact"/>
        <w:ind w:firstLine="480" w:firstLineChars="200"/>
        <w:jc w:val="both"/>
        <w:outlineLvl w:val="9"/>
        <w:rPr>
          <w:rFonts w:ascii="宋体" w:hAnsi="宋体" w:eastAsia="宋体" w:cs="宋体"/>
          <w:b w:val="0"/>
          <w:bCs/>
          <w:sz w:val="24"/>
          <w:szCs w:val="24"/>
          <w:highlight w:val="none"/>
        </w:rPr>
      </w:pPr>
      <w:bookmarkStart w:id="77" w:name="_Toc8817"/>
      <w:bookmarkStart w:id="78" w:name="_Toc6912"/>
      <w:r>
        <w:rPr>
          <w:rFonts w:hint="eastAsia" w:ascii="宋体" w:hAnsi="宋体" w:eastAsia="宋体" w:cs="宋体"/>
          <w:b w:val="0"/>
          <w:bCs/>
          <w:sz w:val="24"/>
          <w:szCs w:val="24"/>
          <w:highlight w:val="none"/>
        </w:rPr>
        <w:t>5、磋商结束后，磋商小组将要求所有符合条件的供应商在规定的时间内进行最后的报价。供应商应在磋商小组发出二轮报价指令后30分钟内通过</w:t>
      </w:r>
      <w:r>
        <w:rPr>
          <w:rFonts w:hint="eastAsia" w:ascii="宋体" w:hAnsi="宋体" w:eastAsia="宋体" w:cs="宋体"/>
          <w:b w:val="0"/>
          <w:bCs/>
          <w:sz w:val="24"/>
          <w:szCs w:val="24"/>
          <w:highlight w:val="none"/>
          <w:lang w:val="en-US" w:eastAsia="zh-CN"/>
        </w:rPr>
        <w:t>现场</w:t>
      </w:r>
      <w:r>
        <w:rPr>
          <w:rFonts w:hint="eastAsia" w:ascii="宋体" w:hAnsi="宋体" w:eastAsia="宋体" w:cs="宋体"/>
          <w:b w:val="0"/>
          <w:bCs/>
          <w:sz w:val="24"/>
          <w:szCs w:val="24"/>
          <w:highlight w:val="none"/>
        </w:rPr>
        <w:t>报价。</w:t>
      </w:r>
      <w:bookmarkEnd w:id="77"/>
      <w:bookmarkEnd w:id="78"/>
    </w:p>
    <w:p w14:paraId="23B0EA60">
      <w:pPr>
        <w:tabs>
          <w:tab w:val="left" w:pos="900"/>
        </w:tabs>
        <w:spacing w:line="520" w:lineRule="exact"/>
        <w:ind w:firstLine="480" w:firstLineChars="200"/>
        <w:jc w:val="left"/>
        <w:rPr>
          <w:rFonts w:ascii="宋体" w:hAnsi="宋体" w:cs="宋体"/>
          <w:b/>
          <w:bCs/>
          <w:sz w:val="24"/>
          <w:szCs w:val="24"/>
          <w:highlight w:val="none"/>
        </w:rPr>
      </w:pPr>
      <w:r>
        <w:rPr>
          <w:rFonts w:hint="eastAsia" w:ascii="宋体" w:hAnsi="宋体" w:cs="宋体"/>
          <w:sz w:val="24"/>
          <w:szCs w:val="24"/>
          <w:highlight w:val="none"/>
        </w:rPr>
        <w:t>6、供应商必须在规定的时间内将自己在磋商中作出的澄清、变动以及最终的报价，经供应商</w:t>
      </w:r>
      <w:r>
        <w:rPr>
          <w:rFonts w:hint="eastAsia" w:ascii="宋体" w:hAnsi="宋体" w:cs="宋体"/>
          <w:sz w:val="24"/>
          <w:szCs w:val="24"/>
          <w:highlight w:val="none"/>
          <w:lang w:val="en-US" w:eastAsia="zh-CN"/>
        </w:rPr>
        <w:t>确认后现场</w:t>
      </w:r>
      <w:r>
        <w:rPr>
          <w:rFonts w:hint="eastAsia" w:ascii="宋体" w:hAnsi="宋体" w:cs="宋体"/>
          <w:sz w:val="24"/>
          <w:szCs w:val="24"/>
          <w:highlight w:val="none"/>
        </w:rPr>
        <w:t>交给磋商小组。</w:t>
      </w:r>
    </w:p>
    <w:p w14:paraId="36D00D0B">
      <w:pPr>
        <w:pStyle w:val="3"/>
        <w:spacing w:before="120" w:beforeLines="50" w:after="120" w:afterLines="50" w:line="520" w:lineRule="exact"/>
        <w:jc w:val="center"/>
        <w:rPr>
          <w:rFonts w:ascii="宋体" w:hAnsi="宋体" w:eastAsia="宋体" w:cs="宋体"/>
          <w:sz w:val="24"/>
          <w:szCs w:val="24"/>
          <w:highlight w:val="none"/>
        </w:rPr>
      </w:pPr>
      <w:bookmarkStart w:id="79" w:name="_Toc11542"/>
      <w:bookmarkStart w:id="80" w:name="_Toc7501"/>
      <w:r>
        <w:rPr>
          <w:rFonts w:hint="eastAsia" w:ascii="宋体" w:hAnsi="宋体" w:eastAsia="宋体" w:cs="宋体"/>
          <w:sz w:val="24"/>
          <w:szCs w:val="24"/>
          <w:highlight w:val="none"/>
        </w:rPr>
        <w:t>（六）评审及异常情况处理</w:t>
      </w:r>
      <w:bookmarkEnd w:id="79"/>
      <w:bookmarkEnd w:id="80"/>
    </w:p>
    <w:p w14:paraId="7AD7043C">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1、磋商小组将遵循公平、公正的原则，对供应商最终提交的确认价进行综合评审，根据得分由高到低顺序推荐不少于3名成交候选供应商。</w:t>
      </w:r>
    </w:p>
    <w:p w14:paraId="5657D9E2">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2、磋商时出现以下情况之一的，将予以废标：</w:t>
      </w:r>
    </w:p>
    <w:p w14:paraId="31272C82">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（1）符合专业条件的供应商或者对采购文件作实质性响应的供应商不足三家的</w:t>
      </w:r>
      <w:r>
        <w:rPr>
          <w:rFonts w:hint="eastAsia" w:ascii="宋体" w:hAnsi="宋体" w:cs="宋体"/>
          <w:sz w:val="24"/>
          <w:szCs w:val="24"/>
          <w:highlight w:val="none"/>
          <w:lang w:eastAsia="zh-CN"/>
        </w:rPr>
        <w:t>。</w:t>
      </w:r>
      <w:r>
        <w:rPr>
          <w:rFonts w:hint="eastAsia" w:ascii="宋体" w:hAnsi="宋体" w:cs="宋体"/>
          <w:sz w:val="24"/>
          <w:szCs w:val="24"/>
          <w:highlight w:val="none"/>
        </w:rPr>
        <w:t>提交响应文件的供应商少于3家的，采购人将依法重新组织采购活动或经主管部门同意后转为其他采购方式。</w:t>
      </w:r>
    </w:p>
    <w:p w14:paraId="3AABA4CF">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注：在采购过程中符合要求的供应商只有2家的，采购活动可以继续进行。符合要求的供应商只有1家的，转为单一来源）；</w:t>
      </w:r>
    </w:p>
    <w:p w14:paraId="5541A9F0">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（2）供应商的报价均超过了采购预算，经过多轮磋商仍不能降到预算内、且采购人不能支付的；</w:t>
      </w:r>
    </w:p>
    <w:p w14:paraId="7F917838">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（3）经过磋商，供应商所提供的服务仍无法满足磋商文件实质性要求、影响工作的；</w:t>
      </w:r>
    </w:p>
    <w:p w14:paraId="6A13B26E">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（4）出现影响采购公正的违法、违规行为的；</w:t>
      </w:r>
    </w:p>
    <w:p w14:paraId="5E5EC2C1">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（5）因重大变故，采购任务取消的。</w:t>
      </w:r>
    </w:p>
    <w:p w14:paraId="6EC096A6">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3、重新组织磋商，采购单位将通过</w:t>
      </w:r>
      <w:r>
        <w:rPr>
          <w:rFonts w:hint="eastAsia" w:ascii="宋体" w:hAnsi="宋体" w:cs="宋体"/>
          <w:sz w:val="24"/>
          <w:szCs w:val="24"/>
          <w:highlight w:val="none"/>
          <w:lang w:eastAsia="zh-CN"/>
        </w:rPr>
        <w:t>安徽霍山国有资产投资控股集团有限公司（http：//ahdmig.cn/）网站</w:t>
      </w:r>
      <w:r>
        <w:rPr>
          <w:rFonts w:hint="eastAsia" w:ascii="宋体" w:hAnsi="宋体" w:cs="宋体"/>
          <w:sz w:val="24"/>
          <w:szCs w:val="24"/>
          <w:highlight w:val="none"/>
        </w:rPr>
        <w:t>进行公告。</w:t>
      </w:r>
    </w:p>
    <w:p w14:paraId="3C0317A5">
      <w:pPr>
        <w:pStyle w:val="3"/>
        <w:spacing w:before="120" w:beforeLines="50" w:after="120" w:afterLines="50" w:line="520" w:lineRule="exact"/>
        <w:jc w:val="center"/>
        <w:rPr>
          <w:rFonts w:ascii="宋体" w:hAnsi="宋体" w:eastAsia="宋体" w:cs="宋体"/>
          <w:sz w:val="24"/>
          <w:szCs w:val="24"/>
          <w:highlight w:val="none"/>
        </w:rPr>
      </w:pPr>
      <w:bookmarkStart w:id="81" w:name="_Toc30632"/>
      <w:r>
        <w:rPr>
          <w:rFonts w:hint="eastAsia" w:ascii="宋体" w:hAnsi="宋体" w:eastAsia="宋体" w:cs="宋体"/>
          <w:sz w:val="24"/>
          <w:szCs w:val="24"/>
          <w:highlight w:val="none"/>
        </w:rPr>
        <w:t>（七）报价响应及答疑</w:t>
      </w:r>
      <w:bookmarkEnd w:id="81"/>
    </w:p>
    <w:p w14:paraId="24F6979C">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1、响应报价应含有所投服务各环节所发生的一切费用。</w:t>
      </w:r>
    </w:p>
    <w:p w14:paraId="11028A2D">
      <w:pPr>
        <w:spacing w:line="520" w:lineRule="exact"/>
        <w:ind w:firstLine="480" w:firstLineChars="200"/>
        <w:rPr>
          <w:rFonts w:hint="eastAsia" w:ascii="宋体" w:hAnsi="宋体" w:cs="宋体"/>
          <w:sz w:val="24"/>
          <w:szCs w:val="24"/>
          <w:highlight w:val="none"/>
        </w:rPr>
      </w:pPr>
      <w:bookmarkStart w:id="82" w:name="_Toc19999"/>
      <w:r>
        <w:rPr>
          <w:rFonts w:hint="eastAsia" w:ascii="宋体" w:hAnsi="宋体" w:cs="宋体"/>
          <w:sz w:val="24"/>
          <w:szCs w:val="24"/>
          <w:highlight w:val="none"/>
        </w:rPr>
        <w:t>2、如有需要，供应商应自行对服务现场和周围环境进行勘察，以获取编制响应文件和签署合同所需的资料。勘察现场所发生的费用由供应商自行承担。采购人向供应商提供的有关服务现场的资料和数据，是采购人现有的能使供应商利用的资料。采购人对供应商由此而做出的推论、理解和结论概不负责。供应商因自身原因未到服务现场实地踏勘的，成交后签订合同时和履约过程中，不得以不完全了解现场情况为由，提出任何形式的增加合同外服务费用或索赔的要求。</w:t>
      </w:r>
    </w:p>
    <w:p w14:paraId="3B2C2B7E">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3、供应商如果对磋商文件的其他任何内容有相关疑问，可以电联形式提出（疑问文件以文档形式提供，如WORD文档等）。</w:t>
      </w:r>
    </w:p>
    <w:p w14:paraId="2DCDCA93">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4、供应商应确保其所提供的响应资料的真实性、有效性及合法性，否则，由此引起的任何责任由其自行承担。</w:t>
      </w:r>
    </w:p>
    <w:p w14:paraId="5C0C659E">
      <w:pPr>
        <w:pStyle w:val="3"/>
        <w:spacing w:before="120" w:beforeLines="50" w:after="120" w:afterLines="50" w:line="52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（八）合同的签订</w:t>
      </w:r>
      <w:bookmarkEnd w:id="82"/>
    </w:p>
    <w:p w14:paraId="7D895F49">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1、采购人应尽量缩短采购合同签订时间，不得晚于中标（成交）通知书发放之日起 7 个工作日。无正当理由不得拒绝或者拖延签订合同，因供应商自身原因导致无法及时签订的除外。采购文件、成交供应商的响应文件及澄清文件等，均作为合同的附件。</w:t>
      </w:r>
    </w:p>
    <w:p w14:paraId="73418FC2">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2、</w:t>
      </w:r>
      <w:r>
        <w:rPr>
          <w:rFonts w:ascii="宋体" w:hAnsi="宋体" w:cs="Arial"/>
          <w:sz w:val="24"/>
          <w:szCs w:val="24"/>
          <w:highlight w:val="none"/>
        </w:rPr>
        <w:t>采购</w:t>
      </w:r>
      <w:r>
        <w:rPr>
          <w:rFonts w:hint="eastAsia" w:ascii="宋体" w:hAnsi="宋体" w:cs="Arial"/>
          <w:sz w:val="24"/>
          <w:szCs w:val="24"/>
          <w:highlight w:val="none"/>
        </w:rPr>
        <w:t>单位</w:t>
      </w:r>
      <w:r>
        <w:rPr>
          <w:rFonts w:ascii="宋体" w:hAnsi="宋体" w:cs="Arial"/>
          <w:sz w:val="24"/>
          <w:szCs w:val="24"/>
          <w:highlight w:val="none"/>
        </w:rPr>
        <w:t>在签订合同时，可以在不改变合同其他条款的前提下变更采购数量，但变更的金额不得超过成交总价的10%。</w:t>
      </w:r>
    </w:p>
    <w:p w14:paraId="16995849">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3、</w:t>
      </w:r>
      <w:r>
        <w:rPr>
          <w:rFonts w:ascii="宋体" w:hAnsi="宋体" w:cs="Arial"/>
          <w:sz w:val="24"/>
          <w:szCs w:val="24"/>
          <w:highlight w:val="none"/>
        </w:rPr>
        <w:t>成交供应商因不可抗力或者自身原因不能在规定的时间内与采购人签订采购</w:t>
      </w:r>
      <w:r>
        <w:rPr>
          <w:rFonts w:hint="eastAsia" w:ascii="宋体" w:hAnsi="宋体" w:cs="Arial"/>
          <w:sz w:val="24"/>
          <w:szCs w:val="24"/>
          <w:highlight w:val="none"/>
        </w:rPr>
        <w:t>合同，采购人可以与排在成交供应商后第一位的候选供应商签订采购合同，以此类推或重新组织采购。</w:t>
      </w:r>
    </w:p>
    <w:p w14:paraId="05CBBF05">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4、因政策变化等原因不能签订合同，造成企业合法利益受损的情形，采购人可以与供应商充分协商，给予合理补偿。</w:t>
      </w:r>
    </w:p>
    <w:p w14:paraId="13131ED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5、在签订合同时，供应商书面明确表示无需预付款或者主动要求降低预付款比例的，采购人可不适用前述（即付款方式）规定。</w:t>
      </w:r>
    </w:p>
    <w:p w14:paraId="71FC68EB">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6、采购文件和合同中没有约定预付款的，经供应商申请，采购人可以支付预付款。</w:t>
      </w:r>
    </w:p>
    <w:p w14:paraId="5EB90D8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7、采购人可根据项目特点、供应商诚信等因素，要求供应商提交银行、保险公司、担保公司等金融机构出具的预付款保函或其他担保措施。</w:t>
      </w:r>
    </w:p>
    <w:p w14:paraId="458DDDEE">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8、政府采购预付款应在合同、担保措施生效以及具备实施条件后 5 个工作日内支付。</w:t>
      </w:r>
    </w:p>
    <w:p w14:paraId="218A5E70">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9、延迟支付中小企业款项的，供应商可要求采购人按照合同约定支付逾期利息，合同没有约定的，按照同期人民银行 LPR支付逾期利息。</w:t>
      </w:r>
    </w:p>
    <w:p w14:paraId="366D475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10、成交供应商无正当理由不与采购人订立合同的处罚依据：</w:t>
      </w:r>
    </w:p>
    <w:p w14:paraId="0656149A">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（1）《中华人民共和国政府采购法实施条例》</w:t>
      </w:r>
    </w:p>
    <w:p w14:paraId="3C510376">
      <w:pPr>
        <w:pStyle w:val="33"/>
        <w:spacing w:after="0" w:line="520" w:lineRule="exact"/>
        <w:ind w:firstLine="480" w:firstLineChars="200"/>
        <w:rPr>
          <w:highlight w:val="none"/>
        </w:rPr>
      </w:pPr>
      <w:r>
        <w:rPr>
          <w:rFonts w:hint="eastAsia"/>
          <w:highlight w:val="none"/>
        </w:rPr>
        <w:t>第七十二条 供应商有下列情形之一的，依照政府采购法第七十七条第一款的规定追究法律责任：……</w:t>
      </w:r>
    </w:p>
    <w:p w14:paraId="3F9133C2">
      <w:pPr>
        <w:pStyle w:val="33"/>
        <w:spacing w:after="0" w:line="520" w:lineRule="exact"/>
        <w:ind w:firstLine="480" w:firstLineChars="200"/>
        <w:rPr>
          <w:highlight w:val="none"/>
        </w:rPr>
      </w:pPr>
      <w:r>
        <w:rPr>
          <w:rFonts w:hint="eastAsia"/>
          <w:highlight w:val="none"/>
        </w:rPr>
        <w:t>（二）中标或者成交后无正当理由拒不与采购人签订政府采购合同；……</w:t>
      </w:r>
    </w:p>
    <w:p w14:paraId="7FBC31B0">
      <w:pPr>
        <w:pStyle w:val="33"/>
        <w:spacing w:after="0" w:line="520" w:lineRule="exact"/>
        <w:ind w:firstLine="480" w:firstLineChars="200"/>
        <w:rPr>
          <w:highlight w:val="none"/>
        </w:rPr>
      </w:pPr>
      <w:r>
        <w:rPr>
          <w:rFonts w:hint="eastAsia"/>
          <w:highlight w:val="none"/>
        </w:rPr>
        <w:t>（2）《中华人民共和国政府采购法》</w:t>
      </w:r>
    </w:p>
    <w:p w14:paraId="241E5143">
      <w:pPr>
        <w:pStyle w:val="33"/>
        <w:spacing w:after="0" w:line="520" w:lineRule="exact"/>
        <w:ind w:firstLine="480" w:firstLineChars="200"/>
        <w:rPr>
          <w:highlight w:val="none"/>
        </w:rPr>
      </w:pPr>
      <w:r>
        <w:rPr>
          <w:rFonts w:hint="eastAsia"/>
          <w:highlight w:val="none"/>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9069F38">
      <w:pPr>
        <w:pStyle w:val="33"/>
        <w:spacing w:after="0" w:line="520" w:lineRule="exact"/>
        <w:ind w:firstLine="480" w:firstLineChars="200"/>
        <w:rPr>
          <w:highlight w:val="none"/>
        </w:rPr>
      </w:pPr>
      <w:r>
        <w:rPr>
          <w:rFonts w:hint="eastAsia"/>
          <w:highlight w:val="none"/>
        </w:rPr>
        <w:t>（3）《政府采购非招标采购方式管理办法》（财政部令第74号）</w:t>
      </w:r>
    </w:p>
    <w:p w14:paraId="3D4A323A">
      <w:pPr>
        <w:pStyle w:val="33"/>
        <w:spacing w:after="0" w:line="520" w:lineRule="exact"/>
        <w:ind w:firstLine="480" w:firstLineChars="200"/>
        <w:rPr>
          <w:highlight w:val="none"/>
        </w:rPr>
      </w:pPr>
      <w:r>
        <w:rPr>
          <w:rFonts w:hint="eastAsia"/>
          <w:highlight w:val="none"/>
        </w:rPr>
        <w:t>第五十四条 成交供应商有下列情形之一的，责令限期整改，情节严重的，列入不良行为记录名单，在1至3年内禁止参加政府采购活动，并予以通报：……</w:t>
      </w:r>
    </w:p>
    <w:p w14:paraId="3AB8DCFC">
      <w:pPr>
        <w:pStyle w:val="33"/>
        <w:spacing w:after="0" w:line="520" w:lineRule="exact"/>
        <w:ind w:firstLine="480" w:firstLineChars="200"/>
        <w:rPr>
          <w:rFonts w:ascii="宋体" w:hAnsi="宋体" w:cs="宋体"/>
          <w:szCs w:val="24"/>
          <w:highlight w:val="none"/>
        </w:rPr>
      </w:pPr>
      <w:r>
        <w:rPr>
          <w:rFonts w:hint="eastAsia"/>
          <w:highlight w:val="none"/>
        </w:rPr>
        <w:t>（二）成交后无正当理由不与采购人签订合同的；……</w:t>
      </w:r>
    </w:p>
    <w:p w14:paraId="7BB7D910">
      <w:pPr>
        <w:pStyle w:val="3"/>
        <w:spacing w:before="120" w:beforeLines="50" w:after="120" w:afterLines="50" w:line="520" w:lineRule="exact"/>
        <w:jc w:val="center"/>
        <w:rPr>
          <w:rFonts w:ascii="宋体" w:hAnsi="宋体" w:eastAsia="宋体" w:cs="宋体"/>
          <w:sz w:val="24"/>
          <w:szCs w:val="24"/>
          <w:highlight w:val="none"/>
        </w:rPr>
      </w:pPr>
      <w:bookmarkStart w:id="83" w:name="_Toc1832"/>
      <w:r>
        <w:rPr>
          <w:rFonts w:hint="eastAsia" w:ascii="宋体" w:hAnsi="宋体" w:eastAsia="宋体" w:cs="宋体"/>
          <w:sz w:val="24"/>
          <w:szCs w:val="24"/>
          <w:highlight w:val="none"/>
        </w:rPr>
        <w:t>（九）澄清及变更</w:t>
      </w:r>
      <w:bookmarkEnd w:id="83"/>
    </w:p>
    <w:p w14:paraId="6E3E27A4">
      <w:pPr>
        <w:spacing w:line="520" w:lineRule="exact"/>
        <w:ind w:firstLine="480" w:firstLineChars="200"/>
        <w:rPr>
          <w:highlight w:val="none"/>
        </w:rPr>
      </w:pPr>
      <w:r>
        <w:rPr>
          <w:rFonts w:hint="eastAsia" w:ascii="宋体" w:hAnsi="宋体"/>
          <w:sz w:val="24"/>
          <w:szCs w:val="24"/>
          <w:highlight w:val="none"/>
        </w:rPr>
        <w:t>磋商文件如有澄清及变更，将以网上公告形式发布，请供应商及时关注。</w:t>
      </w:r>
    </w:p>
    <w:p w14:paraId="519F4703">
      <w:pPr>
        <w:pStyle w:val="3"/>
        <w:spacing w:before="120" w:beforeLines="50" w:after="120" w:afterLines="50" w:line="520" w:lineRule="exact"/>
        <w:jc w:val="center"/>
        <w:rPr>
          <w:rFonts w:ascii="宋体" w:hAnsi="宋体" w:eastAsia="宋体" w:cs="宋体"/>
          <w:sz w:val="24"/>
          <w:szCs w:val="24"/>
          <w:highlight w:val="none"/>
        </w:rPr>
      </w:pPr>
      <w:bookmarkStart w:id="84" w:name="_Toc18928"/>
      <w:r>
        <w:rPr>
          <w:rFonts w:hint="eastAsia" w:ascii="宋体" w:hAnsi="宋体" w:eastAsia="宋体" w:cs="宋体"/>
          <w:sz w:val="24"/>
          <w:szCs w:val="24"/>
          <w:highlight w:val="none"/>
        </w:rPr>
        <w:t>（十）验收</w:t>
      </w:r>
      <w:bookmarkEnd w:id="84"/>
    </w:p>
    <w:p w14:paraId="63A248D5">
      <w:pPr>
        <w:spacing w:line="520" w:lineRule="exact"/>
        <w:ind w:firstLine="480" w:firstLineChars="200"/>
        <w:rPr>
          <w:rFonts w:ascii="宋体" w:hAnsi="宋体"/>
          <w:sz w:val="24"/>
          <w:szCs w:val="24"/>
          <w:highlight w:val="none"/>
        </w:rPr>
      </w:pPr>
      <w:r>
        <w:rPr>
          <w:rFonts w:hint="eastAsia" w:ascii="宋体" w:hAnsi="宋体"/>
          <w:sz w:val="24"/>
          <w:szCs w:val="24"/>
          <w:highlight w:val="none"/>
        </w:rPr>
        <w:t>1、采购人应当在项目完成且收到供应商验收申请后 5 个工作日内组织开展履约验收。</w:t>
      </w:r>
    </w:p>
    <w:p w14:paraId="0D74D09E">
      <w:pPr>
        <w:spacing w:line="520" w:lineRule="exact"/>
        <w:ind w:firstLine="480" w:firstLineChars="200"/>
        <w:rPr>
          <w:rFonts w:ascii="宋体" w:hAnsi="宋体"/>
          <w:sz w:val="24"/>
          <w:szCs w:val="24"/>
          <w:highlight w:val="none"/>
        </w:rPr>
      </w:pPr>
      <w:r>
        <w:rPr>
          <w:rFonts w:hint="eastAsia" w:ascii="宋体" w:hAnsi="宋体"/>
          <w:sz w:val="24"/>
          <w:szCs w:val="24"/>
          <w:highlight w:val="none"/>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4159854B">
      <w:pPr>
        <w:spacing w:line="520" w:lineRule="exact"/>
        <w:ind w:firstLine="480" w:firstLineChars="200"/>
        <w:rPr>
          <w:rFonts w:ascii="宋体" w:hAnsi="宋体"/>
          <w:sz w:val="24"/>
          <w:szCs w:val="24"/>
          <w:highlight w:val="none"/>
        </w:rPr>
      </w:pPr>
      <w:r>
        <w:rPr>
          <w:rFonts w:hint="eastAsia" w:ascii="宋体" w:hAnsi="宋体"/>
          <w:sz w:val="24"/>
          <w:szCs w:val="24"/>
          <w:highlight w:val="none"/>
        </w:rPr>
        <w:t>3、涉及安全、消防、环保等其他需要由质检或行业主管部门进行验收的项目，必须邀请相关部门或相关专家参与验收。</w:t>
      </w:r>
    </w:p>
    <w:p w14:paraId="2CC94EF1">
      <w:pPr>
        <w:pStyle w:val="33"/>
        <w:rPr>
          <w:rFonts w:ascii="宋体" w:hAnsi="宋体"/>
          <w:szCs w:val="24"/>
          <w:highlight w:val="none"/>
        </w:rPr>
      </w:pPr>
      <w:r>
        <w:rPr>
          <w:rFonts w:hint="eastAsia"/>
          <w:highlight w:val="none"/>
        </w:rPr>
        <w:t>4、对于符合支付条件的项目，应</w:t>
      </w:r>
      <w:r>
        <w:rPr>
          <w:rFonts w:hint="eastAsia" w:ascii="宋体" w:hAnsi="宋体"/>
          <w:szCs w:val="24"/>
          <w:highlight w:val="none"/>
        </w:rPr>
        <w:t>在收到发票后7个工作日内将资金支付到合同约定的供应商账户，不得以进行审计作为支付供应商款项的条件。采购人不得以机构变动、人员更替、政策调整、履行内部付款流程等为由延迟付款。</w:t>
      </w:r>
    </w:p>
    <w:p w14:paraId="3846EDAD">
      <w:pPr>
        <w:pStyle w:val="3"/>
        <w:spacing w:before="120" w:beforeLines="50" w:after="120" w:afterLines="50" w:line="520" w:lineRule="exact"/>
        <w:jc w:val="center"/>
        <w:rPr>
          <w:rFonts w:ascii="宋体" w:hAnsi="宋体" w:eastAsia="宋体" w:cs="宋体"/>
          <w:sz w:val="24"/>
          <w:szCs w:val="24"/>
          <w:highlight w:val="none"/>
        </w:rPr>
      </w:pPr>
      <w:bookmarkStart w:id="85" w:name="_Toc3680"/>
      <w:r>
        <w:rPr>
          <w:rFonts w:hint="eastAsia" w:ascii="宋体" w:hAnsi="宋体" w:eastAsia="宋体" w:cs="宋体"/>
          <w:sz w:val="24"/>
          <w:szCs w:val="24"/>
          <w:highlight w:val="none"/>
        </w:rPr>
        <w:t>（十一）质疑</w:t>
      </w:r>
      <w:bookmarkEnd w:id="85"/>
    </w:p>
    <w:p w14:paraId="613E1E04">
      <w:pPr>
        <w:spacing w:line="520" w:lineRule="exact"/>
        <w:ind w:firstLine="480" w:firstLineChars="200"/>
        <w:rPr>
          <w:rFonts w:ascii="宋体" w:hAnsi="宋体"/>
          <w:bCs/>
          <w:sz w:val="24"/>
          <w:highlight w:val="none"/>
        </w:rPr>
      </w:pPr>
      <w:r>
        <w:rPr>
          <w:rFonts w:hint="eastAsia" w:ascii="宋体" w:hAnsi="宋体"/>
          <w:bCs/>
          <w:sz w:val="24"/>
          <w:highlight w:val="none"/>
        </w:rPr>
        <w:t>1、质疑人认为磋商结果使自己的权益受到损害的，可以向采购人及采购代理机构提出质疑。质疑实行实名制，应当有具体的事项及根据，不得进行虚假、恶意质疑，扰乱公共资源交易活动的正常工作秩序。</w:t>
      </w:r>
    </w:p>
    <w:p w14:paraId="48F7A362">
      <w:pPr>
        <w:spacing w:line="520" w:lineRule="exact"/>
        <w:ind w:firstLine="480" w:firstLineChars="200"/>
        <w:rPr>
          <w:rFonts w:ascii="宋体" w:hAnsi="宋体"/>
          <w:bCs/>
          <w:sz w:val="24"/>
          <w:highlight w:val="none"/>
        </w:rPr>
      </w:pPr>
      <w:r>
        <w:rPr>
          <w:rFonts w:hint="eastAsia" w:ascii="宋体" w:hAnsi="宋体"/>
          <w:bCs/>
          <w:sz w:val="24"/>
          <w:highlight w:val="none"/>
        </w:rPr>
        <w:t>2、质疑应在规定时限内提出：</w:t>
      </w:r>
    </w:p>
    <w:p w14:paraId="3F575E6D">
      <w:pPr>
        <w:spacing w:line="520" w:lineRule="exact"/>
        <w:ind w:firstLine="480" w:firstLineChars="200"/>
        <w:rPr>
          <w:rFonts w:ascii="宋体" w:hAnsi="宋体"/>
          <w:bCs/>
          <w:sz w:val="24"/>
          <w:highlight w:val="none"/>
        </w:rPr>
      </w:pPr>
      <w:r>
        <w:rPr>
          <w:rFonts w:hint="eastAsia" w:ascii="宋体" w:hAnsi="宋体"/>
          <w:bCs/>
          <w:sz w:val="24"/>
          <w:highlight w:val="none"/>
        </w:rPr>
        <w:t>对政府采购中标结果的质疑，应在中标结果公布之日起七个工作日内提出。</w:t>
      </w:r>
    </w:p>
    <w:p w14:paraId="02C6EDDF">
      <w:pPr>
        <w:spacing w:line="520" w:lineRule="exact"/>
        <w:ind w:firstLine="480" w:firstLineChars="200"/>
        <w:rPr>
          <w:rFonts w:ascii="宋体" w:hAnsi="宋体"/>
          <w:bCs/>
          <w:sz w:val="24"/>
          <w:highlight w:val="none"/>
        </w:rPr>
      </w:pPr>
      <w:r>
        <w:rPr>
          <w:rFonts w:hint="eastAsia" w:ascii="宋体" w:hAnsi="宋体"/>
          <w:bCs/>
          <w:sz w:val="24"/>
          <w:highlight w:val="none"/>
        </w:rPr>
        <w:t>3、质疑应以书面形式实名提出，书面质疑材料应当包括以下内容：</w:t>
      </w:r>
    </w:p>
    <w:p w14:paraId="639FBE7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3.1质疑人的名称、地址、有效联系方式；</w:t>
      </w:r>
    </w:p>
    <w:p w14:paraId="7E07352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3.2项目名称、项目编号、包别号（如有）；</w:t>
      </w:r>
    </w:p>
    <w:p w14:paraId="114566D2">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3.3被质疑人名称；</w:t>
      </w:r>
    </w:p>
    <w:p w14:paraId="4E1E542E">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3.4具体的质疑事项、基本事实及必要的证明材料；</w:t>
      </w:r>
    </w:p>
    <w:p w14:paraId="634720F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3.5明确的请求及主张；</w:t>
      </w:r>
    </w:p>
    <w:p w14:paraId="4BFB57DE">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3.6提起质疑的日期。</w:t>
      </w:r>
    </w:p>
    <w:p w14:paraId="5D75B4CA">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质疑人为法人或者其他组织的，应当由法定代表人或其委托代理人（需有委托授权书）签字并加盖公章。</w:t>
      </w:r>
    </w:p>
    <w:p w14:paraId="1EE7C449">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质疑人需要修改、补充质疑材料的，应当在质疑期内提交修改或补充材料。</w:t>
      </w:r>
    </w:p>
    <w:p w14:paraId="6F968376">
      <w:pPr>
        <w:spacing w:line="520" w:lineRule="exact"/>
        <w:ind w:firstLine="480" w:firstLineChars="200"/>
        <w:rPr>
          <w:rFonts w:ascii="宋体" w:hAnsi="宋体"/>
          <w:bCs/>
          <w:sz w:val="24"/>
          <w:szCs w:val="24"/>
          <w:highlight w:val="none"/>
        </w:rPr>
      </w:pPr>
      <w:r>
        <w:rPr>
          <w:rFonts w:hint="eastAsia" w:ascii="宋体" w:hAnsi="宋体"/>
          <w:bCs/>
          <w:sz w:val="24"/>
          <w:szCs w:val="24"/>
          <w:highlight w:val="none"/>
        </w:rPr>
        <w:t>4、有下列情形之一的，不予受理：</w:t>
      </w:r>
    </w:p>
    <w:p w14:paraId="462905C0">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4.1提起质疑的主体不是参与该政府采购项目活动的供应商；</w:t>
      </w:r>
    </w:p>
    <w:p w14:paraId="09ED7424">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4.2提起质疑的时间超过规定时限的；</w:t>
      </w:r>
    </w:p>
    <w:p w14:paraId="7F54B542">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4.3质疑材料不完整的；</w:t>
      </w:r>
    </w:p>
    <w:p w14:paraId="1BC1C12A">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4.4质疑事项含有主观猜测等内容且未提供有效线索、难以查证的；</w:t>
      </w:r>
    </w:p>
    <w:p w14:paraId="3CA004E2">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4.5对其他投标供应商的投标文件详细内容质疑，无法提供合法来源渠道的；</w:t>
      </w:r>
    </w:p>
    <w:p w14:paraId="0ECCD72D">
      <w:pPr>
        <w:widowControl/>
        <w:spacing w:line="520" w:lineRule="exact"/>
        <w:ind w:firstLine="480" w:firstLineChars="200"/>
        <w:jc w:val="left"/>
        <w:rPr>
          <w:rFonts w:ascii="仿宋_GB2312" w:hAnsi="宋体" w:eastAsia="仿宋_GB2312" w:cs="宋体"/>
          <w:kern w:val="0"/>
          <w:sz w:val="24"/>
          <w:szCs w:val="24"/>
          <w:highlight w:val="none"/>
        </w:rPr>
      </w:pPr>
      <w:r>
        <w:rPr>
          <w:rFonts w:hint="eastAsia" w:ascii="宋体" w:hAnsi="宋体" w:cs="宋体"/>
          <w:kern w:val="0"/>
          <w:sz w:val="24"/>
          <w:szCs w:val="24"/>
          <w:highlight w:val="none"/>
        </w:rPr>
        <w:t>4.6质疑事项已进入投诉处理、行政复议或行政诉讼程序的。</w:t>
      </w:r>
    </w:p>
    <w:p w14:paraId="07DE9765">
      <w:pPr>
        <w:spacing w:line="520" w:lineRule="exact"/>
        <w:ind w:firstLine="480" w:firstLineChars="200"/>
        <w:rPr>
          <w:rFonts w:ascii="宋体" w:hAnsi="宋体"/>
          <w:bCs/>
          <w:sz w:val="24"/>
          <w:highlight w:val="none"/>
        </w:rPr>
      </w:pPr>
      <w:r>
        <w:rPr>
          <w:rFonts w:hint="eastAsia" w:ascii="宋体" w:hAnsi="宋体"/>
          <w:bCs/>
          <w:sz w:val="24"/>
          <w:highlight w:val="none"/>
        </w:rPr>
        <w:t>5、经审查符合质疑条件的，自收到质疑之日起即为受理。采购人及采购代理机构将在质疑受理后7个工作日内作出答复或相关处理决定，并以书面形式通知质疑人，答复的内容不得涉及商业秘密。</w:t>
      </w:r>
    </w:p>
    <w:p w14:paraId="00E205E7">
      <w:pPr>
        <w:spacing w:line="520" w:lineRule="exact"/>
        <w:ind w:firstLine="480" w:firstLineChars="200"/>
        <w:rPr>
          <w:rFonts w:ascii="宋体" w:hAnsi="宋体"/>
          <w:bCs/>
          <w:sz w:val="24"/>
          <w:highlight w:val="none"/>
        </w:rPr>
      </w:pPr>
      <w:r>
        <w:rPr>
          <w:rFonts w:hint="eastAsia" w:ascii="宋体" w:hAnsi="宋体"/>
          <w:bCs/>
          <w:sz w:val="24"/>
          <w:highlight w:val="none"/>
        </w:rPr>
        <w:t>6、质疑人在答复期满前撤回质疑的，应由法定代表人或授权代表人签字确认，即终止质疑处理程序。质疑人不得以同一理由再次提出质疑。</w:t>
      </w:r>
    </w:p>
    <w:p w14:paraId="384E1442">
      <w:pPr>
        <w:spacing w:line="520" w:lineRule="exact"/>
        <w:ind w:firstLine="480" w:firstLineChars="200"/>
        <w:rPr>
          <w:rFonts w:ascii="宋体" w:hAnsi="宋体"/>
          <w:bCs/>
          <w:sz w:val="24"/>
          <w:highlight w:val="none"/>
        </w:rPr>
      </w:pPr>
      <w:r>
        <w:rPr>
          <w:rFonts w:hint="eastAsia" w:ascii="宋体" w:hAnsi="宋体"/>
          <w:bCs/>
          <w:sz w:val="24"/>
          <w:highlight w:val="none"/>
        </w:rPr>
        <w:t>质疑人对质疑答复不满意或采购人及采购代理机构未在规定时间内做出答复的，可以在规定期限内向</w:t>
      </w:r>
      <w:r>
        <w:rPr>
          <w:rFonts w:hint="eastAsia" w:ascii="宋体" w:hAnsi="宋体"/>
          <w:bCs/>
          <w:sz w:val="24"/>
          <w:highlight w:val="none"/>
          <w:lang w:val="en-US" w:eastAsia="zh-CN"/>
        </w:rPr>
        <w:t>霍山县城关小学</w:t>
      </w:r>
      <w:r>
        <w:rPr>
          <w:rFonts w:hint="eastAsia" w:ascii="宋体" w:hAnsi="宋体"/>
          <w:bCs/>
          <w:sz w:val="24"/>
          <w:highlight w:val="none"/>
        </w:rPr>
        <w:t>提起投诉。</w:t>
      </w:r>
    </w:p>
    <w:p w14:paraId="5FBBE73F">
      <w:pPr>
        <w:spacing w:line="520" w:lineRule="exact"/>
        <w:ind w:firstLine="480" w:firstLineChars="200"/>
        <w:rPr>
          <w:rFonts w:hint="eastAsia" w:ascii="宋体" w:hAnsi="宋体"/>
          <w:bCs/>
          <w:sz w:val="24"/>
          <w:highlight w:val="none"/>
        </w:rPr>
      </w:pPr>
      <w:r>
        <w:rPr>
          <w:rFonts w:hint="eastAsia" w:ascii="宋体" w:hAnsi="宋体"/>
          <w:bCs/>
          <w:sz w:val="24"/>
          <w:highlight w:val="none"/>
        </w:rPr>
        <w:t>质疑人应在答复期满后十五个工作日内提起投诉。</w:t>
      </w:r>
    </w:p>
    <w:p w14:paraId="3D7AD3C0">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rPr>
        <w:t>7、</w:t>
      </w:r>
      <w:bookmarkStart w:id="86" w:name="_Toc216158630"/>
      <w:r>
        <w:rPr>
          <w:rFonts w:hint="eastAsia" w:ascii="宋体" w:hAnsi="宋体"/>
          <w:bCs/>
          <w:sz w:val="24"/>
          <w:highlight w:val="none"/>
          <w:lang w:val="en-US" w:eastAsia="zh-CN"/>
        </w:rPr>
        <w:t>投诉人在全国范围12个月内三次以上投诉查无实据的，由财政部门列入不良行为记录名单。</w:t>
      </w:r>
    </w:p>
    <w:p w14:paraId="6178382B">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投诉人有下列行为之一的，属于虚假、恶意投诉，由财政部门列入不良行为记录名单，禁止其1至3年内参加政府采购活动：</w:t>
      </w:r>
    </w:p>
    <w:p w14:paraId="407330A1">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（一）捏造事实；</w:t>
      </w:r>
    </w:p>
    <w:p w14:paraId="0AA063A7">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（二）提供虚假材料；</w:t>
      </w:r>
    </w:p>
    <w:p w14:paraId="2992A6B1">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（三）以非法手段取得证明材料。证据来源的合法性存在明显疑问，投诉人无法证明其取得方式合法的，视为以非法手段取得证明材料。</w:t>
      </w:r>
    </w:p>
    <w:p w14:paraId="5A90753B">
      <w:pPr>
        <w:rPr>
          <w:rFonts w:hint="eastAsia" w:ascii="宋体" w:hAnsi="宋体"/>
          <w:bCs/>
          <w:sz w:val="24"/>
          <w:highlight w:val="none"/>
          <w:lang w:val="en-US" w:eastAsia="zh-CN"/>
        </w:rPr>
      </w:pPr>
      <w:r>
        <w:rPr>
          <w:rFonts w:hint="eastAsia" w:ascii="宋体" w:hAnsi="宋体"/>
          <w:bCs/>
          <w:sz w:val="24"/>
          <w:highlight w:val="none"/>
          <w:lang w:val="en-US" w:eastAsia="zh-CN"/>
        </w:rPr>
        <w:br w:type="page"/>
      </w:r>
    </w:p>
    <w:p w14:paraId="67A0B53C">
      <w:pPr>
        <w:pStyle w:val="2"/>
        <w:spacing w:before="0" w:after="0" w:line="560" w:lineRule="exact"/>
        <w:jc w:val="center"/>
        <w:outlineLvl w:val="0"/>
        <w:rPr>
          <w:rFonts w:ascii="宋体" w:hAnsi="宋体" w:eastAsia="宋体" w:cs="宋体"/>
          <w:b/>
          <w:bCs/>
          <w:sz w:val="30"/>
          <w:szCs w:val="30"/>
          <w:highlight w:val="none"/>
        </w:rPr>
      </w:pPr>
      <w:bookmarkStart w:id="87" w:name="_Toc27341"/>
      <w:bookmarkStart w:id="88" w:name="_Toc22378"/>
      <w:r>
        <w:rPr>
          <w:rFonts w:hint="eastAsia" w:ascii="宋体" w:hAnsi="宋体" w:eastAsia="宋体" w:cs="宋体"/>
          <w:b/>
          <w:bCs/>
          <w:sz w:val="30"/>
          <w:szCs w:val="30"/>
          <w:highlight w:val="none"/>
        </w:rPr>
        <w:t>二、采购合同</w:t>
      </w:r>
      <w:bookmarkEnd w:id="87"/>
      <w:bookmarkEnd w:id="88"/>
    </w:p>
    <w:bookmarkEnd w:id="86"/>
    <w:p w14:paraId="1A78E08A">
      <w:pPr>
        <w:spacing w:line="480" w:lineRule="auto"/>
        <w:jc w:val="center"/>
        <w:rPr>
          <w:rFonts w:hint="eastAsia"/>
          <w:b/>
          <w:bCs/>
          <w:sz w:val="30"/>
          <w:szCs w:val="30"/>
          <w:highlight w:val="none"/>
        </w:rPr>
      </w:pPr>
      <w:bookmarkStart w:id="89" w:name="_Toc363199273"/>
    </w:p>
    <w:p w14:paraId="1835D684">
      <w:pPr>
        <w:spacing w:line="480" w:lineRule="auto"/>
        <w:jc w:val="center"/>
        <w:rPr>
          <w:b/>
          <w:bCs/>
          <w:sz w:val="30"/>
          <w:szCs w:val="30"/>
          <w:highlight w:val="none"/>
        </w:rPr>
      </w:pPr>
      <w:r>
        <w:rPr>
          <w:rFonts w:hint="eastAsia"/>
          <w:b/>
          <w:bCs/>
          <w:sz w:val="30"/>
          <w:szCs w:val="30"/>
          <w:highlight w:val="none"/>
        </w:rPr>
        <w:t>食堂劳务派合同</w:t>
      </w:r>
    </w:p>
    <w:p w14:paraId="493F9262">
      <w:pPr>
        <w:spacing w:line="480" w:lineRule="auto"/>
        <w:rPr>
          <w:b/>
          <w:bCs/>
          <w:sz w:val="28"/>
          <w:szCs w:val="28"/>
          <w:highlight w:val="none"/>
        </w:rPr>
      </w:pPr>
      <w:r>
        <w:rPr>
          <w:rFonts w:hint="eastAsia"/>
          <w:b/>
          <w:bCs/>
          <w:sz w:val="28"/>
          <w:szCs w:val="28"/>
          <w:highlight w:val="none"/>
        </w:rPr>
        <w:t>甲方：</w:t>
      </w:r>
      <w:r>
        <w:rPr>
          <w:b/>
          <w:bCs/>
          <w:sz w:val="28"/>
          <w:szCs w:val="28"/>
          <w:highlight w:val="none"/>
        </w:rPr>
        <w:t xml:space="preserve">      </w:t>
      </w:r>
      <w:r>
        <w:rPr>
          <w:rFonts w:hint="eastAsia"/>
          <w:b/>
          <w:bCs/>
          <w:sz w:val="28"/>
          <w:szCs w:val="28"/>
          <w:highlight w:val="none"/>
          <w:lang w:val="en-US" w:eastAsia="zh-CN"/>
        </w:rPr>
        <w:t xml:space="preserve">                         </w:t>
      </w:r>
      <w:r>
        <w:rPr>
          <w:rFonts w:hint="eastAsia"/>
          <w:b/>
          <w:bCs/>
          <w:sz w:val="28"/>
          <w:szCs w:val="28"/>
          <w:highlight w:val="none"/>
        </w:rPr>
        <w:t>（以下简称甲方）</w:t>
      </w:r>
    </w:p>
    <w:p w14:paraId="5668DAE3">
      <w:pPr>
        <w:spacing w:line="480" w:lineRule="auto"/>
        <w:rPr>
          <w:b/>
          <w:bCs/>
          <w:sz w:val="28"/>
          <w:szCs w:val="28"/>
          <w:highlight w:val="none"/>
        </w:rPr>
      </w:pPr>
      <w:r>
        <w:rPr>
          <w:rFonts w:hint="eastAsia"/>
          <w:b/>
          <w:bCs/>
          <w:sz w:val="28"/>
          <w:szCs w:val="28"/>
          <w:highlight w:val="none"/>
        </w:rPr>
        <w:t>乙方：</w:t>
      </w:r>
      <w:r>
        <w:rPr>
          <w:rFonts w:hint="eastAsia"/>
          <w:b/>
          <w:bCs/>
          <w:sz w:val="28"/>
          <w:szCs w:val="28"/>
          <w:highlight w:val="none"/>
          <w:lang w:val="en-US" w:eastAsia="zh-CN"/>
        </w:rPr>
        <w:t xml:space="preserve">                               </w:t>
      </w:r>
      <w:r>
        <w:rPr>
          <w:rFonts w:hint="eastAsia"/>
          <w:b/>
          <w:bCs/>
          <w:sz w:val="28"/>
          <w:szCs w:val="28"/>
          <w:highlight w:val="none"/>
        </w:rPr>
        <w:t>（以下简称乙方）</w:t>
      </w:r>
    </w:p>
    <w:p w14:paraId="64CFBF45">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rFonts w:hint="eastAsia"/>
          <w:sz w:val="28"/>
          <w:szCs w:val="28"/>
          <w:highlight w:val="none"/>
        </w:rPr>
        <w:t>根据《中华人民共和国劳动法》、《中华人民共和国劳动合同法》、《国家市场监督管理总局办公厅、教育部办公厅、国家卫生健康委员会办公厅、公安部办公厅文件（市监食经【</w:t>
      </w:r>
      <w:r>
        <w:rPr>
          <w:sz w:val="28"/>
          <w:szCs w:val="28"/>
          <w:highlight w:val="none"/>
        </w:rPr>
        <w:t>2019</w:t>
      </w:r>
      <w:r>
        <w:rPr>
          <w:rFonts w:hint="eastAsia"/>
          <w:sz w:val="28"/>
          <w:szCs w:val="28"/>
          <w:highlight w:val="none"/>
        </w:rPr>
        <w:t>】</w:t>
      </w:r>
      <w:r>
        <w:rPr>
          <w:sz w:val="28"/>
          <w:szCs w:val="28"/>
          <w:highlight w:val="none"/>
        </w:rPr>
        <w:t>68</w:t>
      </w:r>
      <w:r>
        <w:rPr>
          <w:rFonts w:hint="eastAsia"/>
          <w:sz w:val="28"/>
          <w:szCs w:val="28"/>
          <w:highlight w:val="none"/>
        </w:rPr>
        <w:t>号）》、霍山县教育局文件（霍教【</w:t>
      </w:r>
      <w:r>
        <w:rPr>
          <w:sz w:val="28"/>
          <w:szCs w:val="28"/>
          <w:highlight w:val="none"/>
        </w:rPr>
        <w:t>2015</w:t>
      </w:r>
      <w:r>
        <w:rPr>
          <w:rFonts w:hint="eastAsia"/>
          <w:sz w:val="28"/>
          <w:szCs w:val="28"/>
          <w:highlight w:val="none"/>
        </w:rPr>
        <w:t>】</w:t>
      </w:r>
      <w:r>
        <w:rPr>
          <w:sz w:val="28"/>
          <w:szCs w:val="28"/>
          <w:highlight w:val="none"/>
        </w:rPr>
        <w:t>3</w:t>
      </w:r>
      <w:r>
        <w:rPr>
          <w:rFonts w:hint="eastAsia"/>
          <w:sz w:val="28"/>
          <w:szCs w:val="28"/>
          <w:highlight w:val="none"/>
        </w:rPr>
        <w:t>号）要求及学校食堂经营供餐和招标结果的相关内容，甲、乙双方遵循平等、自愿、公平、诚信的原则，就乙方向甲方食堂实施劳务派遣相关事宜，订立如下合同。</w:t>
      </w:r>
    </w:p>
    <w:p w14:paraId="064739EC">
      <w:pPr>
        <w:keepNext w:val="0"/>
        <w:keepLines w:val="0"/>
        <w:pageBreakBefore w:val="0"/>
        <w:widowControl w:val="0"/>
        <w:kinsoku/>
        <w:wordWrap/>
        <w:overflowPunct/>
        <w:topLinePunct w:val="0"/>
        <w:autoSpaceDE/>
        <w:autoSpaceDN/>
        <w:bidi w:val="0"/>
        <w:adjustRightInd/>
        <w:snapToGrid/>
        <w:spacing w:line="360" w:lineRule="auto"/>
        <w:ind w:left="0" w:firstLine="562" w:firstLineChars="200"/>
        <w:textAlignment w:val="auto"/>
        <w:rPr>
          <w:b/>
          <w:bCs/>
          <w:sz w:val="28"/>
          <w:szCs w:val="28"/>
          <w:highlight w:val="none"/>
        </w:rPr>
      </w:pPr>
      <w:r>
        <w:rPr>
          <w:rFonts w:hint="eastAsia"/>
          <w:b/>
          <w:bCs/>
          <w:sz w:val="28"/>
          <w:szCs w:val="28"/>
          <w:highlight w:val="none"/>
        </w:rPr>
        <w:t>第一条：劳务派遣服务期限</w:t>
      </w:r>
    </w:p>
    <w:p w14:paraId="16BC1392">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rFonts w:hint="eastAsia"/>
          <w:sz w:val="28"/>
          <w:szCs w:val="28"/>
          <w:highlight w:val="none"/>
        </w:rPr>
        <w:t>本合同期为：</w:t>
      </w:r>
      <w:r>
        <w:rPr>
          <w:rFonts w:hint="eastAsia"/>
          <w:sz w:val="28"/>
          <w:szCs w:val="28"/>
          <w:highlight w:val="none"/>
          <w:lang w:val="en-US" w:eastAsia="zh-CN"/>
        </w:rPr>
        <w:t>2024</w:t>
      </w:r>
      <w:r>
        <w:rPr>
          <w:rFonts w:hint="eastAsia"/>
          <w:sz w:val="28"/>
          <w:szCs w:val="28"/>
          <w:highlight w:val="none"/>
        </w:rPr>
        <w:t>年</w:t>
      </w:r>
      <w:r>
        <w:rPr>
          <w:rFonts w:hint="eastAsia"/>
          <w:sz w:val="28"/>
          <w:szCs w:val="28"/>
          <w:highlight w:val="none"/>
          <w:lang w:val="en-US" w:eastAsia="zh-CN"/>
        </w:rPr>
        <w:t>9</w:t>
      </w:r>
      <w:r>
        <w:rPr>
          <w:rFonts w:hint="eastAsia"/>
          <w:sz w:val="28"/>
          <w:szCs w:val="28"/>
          <w:highlight w:val="none"/>
        </w:rPr>
        <w:t>月</w:t>
      </w:r>
      <w:r>
        <w:rPr>
          <w:rFonts w:hint="eastAsia"/>
          <w:sz w:val="28"/>
          <w:szCs w:val="28"/>
          <w:highlight w:val="none"/>
          <w:lang w:val="en-US" w:eastAsia="zh-CN"/>
        </w:rPr>
        <w:t>1</w:t>
      </w:r>
      <w:r>
        <w:rPr>
          <w:rFonts w:hint="eastAsia"/>
          <w:sz w:val="28"/>
          <w:szCs w:val="28"/>
          <w:highlight w:val="none"/>
        </w:rPr>
        <w:t>日至</w:t>
      </w:r>
      <w:r>
        <w:rPr>
          <w:rFonts w:hint="eastAsia"/>
          <w:sz w:val="28"/>
          <w:szCs w:val="28"/>
          <w:highlight w:val="none"/>
          <w:lang w:val="en-US" w:eastAsia="zh-CN"/>
        </w:rPr>
        <w:t>2027</w:t>
      </w:r>
      <w:r>
        <w:rPr>
          <w:rFonts w:hint="eastAsia"/>
          <w:sz w:val="28"/>
          <w:szCs w:val="28"/>
          <w:highlight w:val="none"/>
        </w:rPr>
        <w:t>年</w:t>
      </w:r>
      <w:r>
        <w:rPr>
          <w:rFonts w:hint="eastAsia"/>
          <w:sz w:val="28"/>
          <w:szCs w:val="28"/>
          <w:highlight w:val="none"/>
          <w:lang w:val="en-US" w:eastAsia="zh-CN"/>
        </w:rPr>
        <w:t>8</w:t>
      </w:r>
      <w:r>
        <w:rPr>
          <w:rFonts w:hint="eastAsia"/>
          <w:sz w:val="28"/>
          <w:szCs w:val="28"/>
          <w:highlight w:val="none"/>
        </w:rPr>
        <w:t>月</w:t>
      </w:r>
      <w:r>
        <w:rPr>
          <w:rFonts w:hint="eastAsia"/>
          <w:sz w:val="28"/>
          <w:szCs w:val="28"/>
          <w:highlight w:val="none"/>
          <w:lang w:val="en-US" w:eastAsia="zh-CN"/>
        </w:rPr>
        <w:t>31</w:t>
      </w:r>
      <w:r>
        <w:rPr>
          <w:rFonts w:hint="eastAsia"/>
          <w:sz w:val="28"/>
          <w:szCs w:val="28"/>
          <w:highlight w:val="none"/>
        </w:rPr>
        <w:t>日</w:t>
      </w:r>
      <w:r>
        <w:rPr>
          <w:rFonts w:hint="eastAsia"/>
          <w:sz w:val="28"/>
          <w:szCs w:val="28"/>
          <w:highlight w:val="none"/>
          <w:lang w:eastAsia="zh-CN"/>
        </w:rPr>
        <w:t>，</w:t>
      </w:r>
      <w:r>
        <w:rPr>
          <w:rFonts w:hint="eastAsia"/>
          <w:sz w:val="28"/>
          <w:szCs w:val="28"/>
          <w:highlight w:val="none"/>
        </w:rPr>
        <w:t>期限</w:t>
      </w:r>
      <w:r>
        <w:rPr>
          <w:rFonts w:hint="eastAsia"/>
          <w:sz w:val="28"/>
          <w:szCs w:val="28"/>
          <w:highlight w:val="none"/>
          <w:lang w:val="en-US" w:eastAsia="zh-CN"/>
        </w:rPr>
        <w:t>三</w:t>
      </w:r>
      <w:r>
        <w:rPr>
          <w:rFonts w:hint="eastAsia"/>
          <w:sz w:val="28"/>
          <w:szCs w:val="28"/>
          <w:highlight w:val="none"/>
        </w:rPr>
        <w:t>年，</w:t>
      </w:r>
      <w:r>
        <w:rPr>
          <w:rFonts w:hint="eastAsia"/>
          <w:sz w:val="28"/>
          <w:szCs w:val="28"/>
          <w:highlight w:val="none"/>
          <w:lang w:val="en-US" w:eastAsia="zh-CN"/>
        </w:rPr>
        <w:t>施行1年+1年+1年模式，</w:t>
      </w:r>
      <w:r>
        <w:rPr>
          <w:rFonts w:hint="eastAsia"/>
          <w:sz w:val="28"/>
          <w:szCs w:val="28"/>
          <w:highlight w:val="none"/>
        </w:rPr>
        <w:t>如甲、乙双方合作满意再续订合同。</w:t>
      </w:r>
    </w:p>
    <w:p w14:paraId="40482DDC">
      <w:pPr>
        <w:keepNext w:val="0"/>
        <w:keepLines w:val="0"/>
        <w:pageBreakBefore w:val="0"/>
        <w:widowControl w:val="0"/>
        <w:kinsoku/>
        <w:wordWrap/>
        <w:overflowPunct/>
        <w:topLinePunct w:val="0"/>
        <w:autoSpaceDE/>
        <w:autoSpaceDN/>
        <w:bidi w:val="0"/>
        <w:adjustRightInd/>
        <w:snapToGrid/>
        <w:spacing w:line="360" w:lineRule="auto"/>
        <w:ind w:left="0" w:firstLine="562" w:firstLineChars="200"/>
        <w:textAlignment w:val="auto"/>
        <w:rPr>
          <w:b/>
          <w:bCs/>
          <w:sz w:val="28"/>
          <w:szCs w:val="28"/>
          <w:highlight w:val="none"/>
        </w:rPr>
      </w:pPr>
      <w:r>
        <w:rPr>
          <w:rFonts w:hint="eastAsia"/>
          <w:b/>
          <w:bCs/>
          <w:sz w:val="28"/>
          <w:szCs w:val="28"/>
          <w:highlight w:val="none"/>
        </w:rPr>
        <w:t>第二条：双方权利与义务</w:t>
      </w:r>
    </w:p>
    <w:p w14:paraId="4D7ACB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562" w:firstLineChars="200"/>
        <w:textAlignment w:val="auto"/>
        <w:rPr>
          <w:b/>
          <w:bCs/>
          <w:sz w:val="28"/>
          <w:szCs w:val="28"/>
          <w:highlight w:val="none"/>
        </w:rPr>
      </w:pPr>
      <w:r>
        <w:rPr>
          <w:rFonts w:hint="eastAsia"/>
          <w:b/>
          <w:bCs/>
          <w:sz w:val="28"/>
          <w:szCs w:val="28"/>
          <w:highlight w:val="none"/>
          <w:lang w:eastAsia="zh-CN"/>
        </w:rPr>
        <w:t>（</w:t>
      </w:r>
      <w:r>
        <w:rPr>
          <w:rFonts w:hint="eastAsia"/>
          <w:b/>
          <w:bCs/>
          <w:sz w:val="28"/>
          <w:szCs w:val="28"/>
          <w:highlight w:val="none"/>
          <w:lang w:val="en-US" w:eastAsia="zh-CN"/>
        </w:rPr>
        <w:t>一</w:t>
      </w:r>
      <w:r>
        <w:rPr>
          <w:rFonts w:hint="eastAsia"/>
          <w:b/>
          <w:bCs/>
          <w:sz w:val="28"/>
          <w:szCs w:val="28"/>
          <w:highlight w:val="none"/>
          <w:lang w:eastAsia="zh-CN"/>
        </w:rPr>
        <w:t>）</w:t>
      </w:r>
      <w:r>
        <w:rPr>
          <w:rFonts w:hint="eastAsia"/>
          <w:b/>
          <w:bCs/>
          <w:sz w:val="28"/>
          <w:szCs w:val="28"/>
          <w:highlight w:val="none"/>
        </w:rPr>
        <w:t>、甲方的权利与义务</w:t>
      </w:r>
    </w:p>
    <w:p w14:paraId="5E42B4EE">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1</w:t>
      </w:r>
      <w:r>
        <w:rPr>
          <w:rFonts w:hint="eastAsia"/>
          <w:sz w:val="28"/>
          <w:szCs w:val="28"/>
          <w:highlight w:val="none"/>
        </w:rPr>
        <w:t>、按照《中华人民共和国食品安全法》以及《学校食品安全与营养健康管理规定》等相关法规，对乙方劳务派遣服务各项工作进行监督和指导。</w:t>
      </w:r>
    </w:p>
    <w:p w14:paraId="4F50A972">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2</w:t>
      </w:r>
      <w:r>
        <w:rPr>
          <w:rFonts w:hint="eastAsia"/>
          <w:sz w:val="28"/>
          <w:szCs w:val="28"/>
          <w:highlight w:val="none"/>
        </w:rPr>
        <w:t>、甲方负责房屋及各种附属设施、辅助设备的管理，并根据需要及时维修和添置。</w:t>
      </w:r>
    </w:p>
    <w:p w14:paraId="0D5E4D1A">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3</w:t>
      </w:r>
      <w:r>
        <w:rPr>
          <w:rFonts w:hint="eastAsia"/>
          <w:sz w:val="28"/>
          <w:szCs w:val="28"/>
          <w:highlight w:val="none"/>
        </w:rPr>
        <w:t>、根据全县校园食堂正常从业人员与师生比约</w:t>
      </w:r>
      <w:r>
        <w:rPr>
          <w:sz w:val="28"/>
          <w:szCs w:val="28"/>
          <w:highlight w:val="none"/>
        </w:rPr>
        <w:t>1</w:t>
      </w:r>
      <w:r>
        <w:rPr>
          <w:rFonts w:hint="eastAsia"/>
          <w:sz w:val="28"/>
          <w:szCs w:val="28"/>
          <w:highlight w:val="none"/>
        </w:rPr>
        <w:t>：</w:t>
      </w:r>
      <w:r>
        <w:rPr>
          <w:rFonts w:hint="eastAsia"/>
          <w:sz w:val="28"/>
          <w:szCs w:val="28"/>
          <w:highlight w:val="none"/>
          <w:lang w:val="en-US" w:eastAsia="zh-CN"/>
        </w:rPr>
        <w:t>8</w:t>
      </w:r>
      <w:r>
        <w:rPr>
          <w:sz w:val="28"/>
          <w:szCs w:val="28"/>
          <w:highlight w:val="none"/>
        </w:rPr>
        <w:t>0</w:t>
      </w:r>
      <w:r>
        <w:rPr>
          <w:rFonts w:hint="eastAsia"/>
          <w:sz w:val="28"/>
          <w:szCs w:val="28"/>
          <w:highlight w:val="none"/>
        </w:rPr>
        <w:t>，确定食堂岗位及从业人数。</w:t>
      </w:r>
    </w:p>
    <w:p w14:paraId="0114094B">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4</w:t>
      </w:r>
      <w:r>
        <w:rPr>
          <w:rFonts w:hint="eastAsia"/>
          <w:sz w:val="28"/>
          <w:szCs w:val="28"/>
          <w:highlight w:val="none"/>
        </w:rPr>
        <w:t>、对师生员工提出的意见和建议（包括人员的聘用和辞退），定期向乙方反馈，并对反映问题督促乙方逐项进行整改。</w:t>
      </w:r>
    </w:p>
    <w:p w14:paraId="22BD3F09">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5</w:t>
      </w:r>
      <w:r>
        <w:rPr>
          <w:rFonts w:hint="eastAsia"/>
          <w:sz w:val="28"/>
          <w:szCs w:val="28"/>
          <w:highlight w:val="none"/>
        </w:rPr>
        <w:t>、负责对外有关食品卫生、环保</w:t>
      </w:r>
      <w:r>
        <w:rPr>
          <w:sz w:val="28"/>
          <w:szCs w:val="28"/>
          <w:highlight w:val="none"/>
        </w:rPr>
        <w:t xml:space="preserve"> </w:t>
      </w:r>
      <w:r>
        <w:rPr>
          <w:rFonts w:hint="eastAsia"/>
          <w:sz w:val="28"/>
          <w:szCs w:val="28"/>
          <w:highlight w:val="none"/>
        </w:rPr>
        <w:t>、节能等职能部门工作的接洽与协商。</w:t>
      </w:r>
    </w:p>
    <w:p w14:paraId="6017B20B">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rFonts w:hint="eastAsia" w:eastAsia="宋体"/>
          <w:sz w:val="28"/>
          <w:szCs w:val="28"/>
          <w:highlight w:val="none"/>
          <w:lang w:eastAsia="zh-CN"/>
        </w:rPr>
      </w:pPr>
      <w:r>
        <w:rPr>
          <w:rFonts w:hint="eastAsia"/>
          <w:sz w:val="28"/>
          <w:szCs w:val="28"/>
          <w:highlight w:val="none"/>
          <w:lang w:val="en-US" w:eastAsia="zh-CN"/>
        </w:rPr>
        <w:t>6</w:t>
      </w:r>
      <w:r>
        <w:rPr>
          <w:rFonts w:hint="eastAsia"/>
          <w:sz w:val="28"/>
          <w:szCs w:val="28"/>
          <w:highlight w:val="none"/>
        </w:rPr>
        <w:t>、采取措施净化校园内外餐饮市场</w:t>
      </w:r>
      <w:r>
        <w:rPr>
          <w:rFonts w:hint="eastAsia"/>
          <w:sz w:val="28"/>
          <w:szCs w:val="28"/>
          <w:highlight w:val="none"/>
          <w:lang w:eastAsia="zh-CN"/>
        </w:rPr>
        <w:t>。</w:t>
      </w:r>
    </w:p>
    <w:p w14:paraId="3CB0DE03">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rFonts w:hint="eastAsia"/>
          <w:sz w:val="28"/>
          <w:szCs w:val="28"/>
          <w:highlight w:val="none"/>
        </w:rPr>
      </w:pPr>
      <w:r>
        <w:rPr>
          <w:rFonts w:hint="eastAsia"/>
          <w:sz w:val="28"/>
          <w:szCs w:val="28"/>
          <w:highlight w:val="none"/>
          <w:lang w:val="en-US" w:eastAsia="zh-CN"/>
        </w:rPr>
        <w:t>7</w:t>
      </w:r>
      <w:r>
        <w:rPr>
          <w:rFonts w:hint="eastAsia"/>
          <w:sz w:val="28"/>
          <w:szCs w:val="28"/>
          <w:highlight w:val="none"/>
        </w:rPr>
        <w:t>、负责配送和采购验收，审核由乙方申报所需的物品和食材等，适时调整食堂餐饮价格。</w:t>
      </w:r>
    </w:p>
    <w:p w14:paraId="566C5F81">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rFonts w:hint="eastAsia"/>
          <w:sz w:val="28"/>
          <w:szCs w:val="28"/>
          <w:highlight w:val="none"/>
        </w:rPr>
      </w:pPr>
      <w:r>
        <w:rPr>
          <w:rFonts w:hint="eastAsia"/>
          <w:sz w:val="28"/>
          <w:szCs w:val="28"/>
          <w:highlight w:val="none"/>
          <w:lang w:val="en-US" w:eastAsia="zh-CN"/>
        </w:rPr>
        <w:t>8</w:t>
      </w:r>
      <w:r>
        <w:rPr>
          <w:rFonts w:hint="eastAsia"/>
          <w:sz w:val="28"/>
          <w:szCs w:val="28"/>
          <w:highlight w:val="none"/>
        </w:rPr>
        <w:t>、建立多渠道、多层面的民主监督制度，充分发挥“膳食委员会”、“家委会”的作用，定期召开教师代表及各班生活委员会议，征求对食堂饮食工作的意见，提高食堂管理水平。</w:t>
      </w:r>
    </w:p>
    <w:p w14:paraId="587DC1C6">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rFonts w:hint="eastAsia" w:eastAsia="宋体"/>
          <w:sz w:val="28"/>
          <w:szCs w:val="28"/>
          <w:highlight w:val="none"/>
          <w:lang w:val="en-US" w:eastAsia="zh-CN"/>
        </w:rPr>
      </w:pPr>
      <w:r>
        <w:rPr>
          <w:rFonts w:hint="eastAsia"/>
          <w:sz w:val="28"/>
          <w:szCs w:val="28"/>
          <w:highlight w:val="none"/>
          <w:lang w:val="en-US" w:eastAsia="zh-CN"/>
        </w:rPr>
        <w:t>9、</w:t>
      </w:r>
      <w:r>
        <w:rPr>
          <w:rFonts w:hint="eastAsia"/>
          <w:sz w:val="28"/>
          <w:szCs w:val="28"/>
          <w:highlight w:val="none"/>
        </w:rPr>
        <w:t>乙方发放食堂劳务派遣管理费用（包括管理费用、工伤保险、意外保险、利润税金</w:t>
      </w:r>
      <w:r>
        <w:rPr>
          <w:rFonts w:hint="eastAsia"/>
          <w:sz w:val="28"/>
          <w:szCs w:val="28"/>
          <w:highlight w:val="none"/>
          <w:lang w:eastAsia="zh-CN"/>
        </w:rPr>
        <w:t>、</w:t>
      </w:r>
      <w:r>
        <w:rPr>
          <w:rFonts w:hint="eastAsia"/>
          <w:sz w:val="28"/>
          <w:szCs w:val="28"/>
          <w:highlight w:val="none"/>
          <w:lang w:val="en-US" w:eastAsia="zh-CN"/>
        </w:rPr>
        <w:t>工作服、鞋、帽</w:t>
      </w:r>
      <w:r>
        <w:rPr>
          <w:rFonts w:hint="eastAsia"/>
          <w:sz w:val="28"/>
          <w:szCs w:val="28"/>
          <w:highlight w:val="none"/>
        </w:rPr>
        <w:t>等及其它应列未列费用）</w:t>
      </w:r>
      <w:r>
        <w:rPr>
          <w:rFonts w:hint="eastAsia"/>
          <w:sz w:val="28"/>
          <w:szCs w:val="28"/>
          <w:highlight w:val="none"/>
          <w:lang w:eastAsia="zh-CN"/>
        </w:rPr>
        <w:t>，</w:t>
      </w:r>
      <w:r>
        <w:rPr>
          <w:rFonts w:hint="eastAsia"/>
          <w:sz w:val="28"/>
          <w:szCs w:val="28"/>
          <w:highlight w:val="none"/>
          <w:lang w:val="en-US" w:eastAsia="zh-CN"/>
        </w:rPr>
        <w:t>在营业额20%以内</w:t>
      </w:r>
      <w:r>
        <w:rPr>
          <w:rFonts w:hint="eastAsia"/>
          <w:sz w:val="28"/>
          <w:szCs w:val="28"/>
          <w:highlight w:val="none"/>
        </w:rPr>
        <w:t>。</w:t>
      </w:r>
    </w:p>
    <w:p w14:paraId="44B15C2A">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rFonts w:hint="eastAsia"/>
          <w:sz w:val="28"/>
          <w:szCs w:val="28"/>
          <w:highlight w:val="none"/>
          <w:lang w:val="en-US" w:eastAsia="zh-CN"/>
        </w:rPr>
        <w:t>10</w:t>
      </w:r>
      <w:r>
        <w:rPr>
          <w:rFonts w:hint="eastAsia"/>
          <w:sz w:val="28"/>
          <w:szCs w:val="28"/>
          <w:highlight w:val="none"/>
        </w:rPr>
        <w:t>、</w:t>
      </w:r>
      <w:r>
        <w:rPr>
          <w:rFonts w:hint="eastAsia"/>
          <w:sz w:val="28"/>
          <w:szCs w:val="28"/>
          <w:highlight w:val="none"/>
          <w:lang w:val="en-US" w:eastAsia="zh-CN"/>
        </w:rPr>
        <w:t>甲方保证</w:t>
      </w:r>
      <w:r>
        <w:rPr>
          <w:rFonts w:hint="eastAsia"/>
          <w:sz w:val="28"/>
          <w:szCs w:val="28"/>
          <w:highlight w:val="none"/>
        </w:rPr>
        <w:t>食堂内用于生产经营的直接生产</w:t>
      </w:r>
      <w:r>
        <w:rPr>
          <w:rFonts w:hint="eastAsia"/>
          <w:sz w:val="28"/>
          <w:szCs w:val="28"/>
          <w:highlight w:val="none"/>
          <w:lang w:val="en-US" w:eastAsia="zh-CN"/>
        </w:rPr>
        <w:t>物资</w:t>
      </w:r>
      <w:r>
        <w:rPr>
          <w:rFonts w:hint="eastAsia"/>
          <w:sz w:val="28"/>
          <w:szCs w:val="28"/>
          <w:highlight w:val="none"/>
          <w:lang w:eastAsia="zh-CN"/>
        </w:rPr>
        <w:t>。（</w:t>
      </w:r>
      <w:r>
        <w:rPr>
          <w:rFonts w:hint="eastAsia"/>
          <w:sz w:val="28"/>
          <w:szCs w:val="28"/>
          <w:highlight w:val="none"/>
          <w:lang w:val="en-US" w:eastAsia="zh-CN"/>
        </w:rPr>
        <w:t>如：煤、电、气等，在营业额10%以内报销。</w:t>
      </w:r>
      <w:r>
        <w:rPr>
          <w:rFonts w:hint="eastAsia"/>
          <w:sz w:val="28"/>
          <w:szCs w:val="28"/>
          <w:highlight w:val="none"/>
          <w:lang w:eastAsia="zh-CN"/>
        </w:rPr>
        <w:t>）</w:t>
      </w:r>
    </w:p>
    <w:p w14:paraId="5CF2F6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562" w:firstLineChars="200"/>
        <w:textAlignment w:val="auto"/>
        <w:rPr>
          <w:rFonts w:hint="eastAsia"/>
          <w:b/>
          <w:bCs/>
          <w:sz w:val="28"/>
          <w:szCs w:val="28"/>
          <w:highlight w:val="none"/>
          <w:lang w:eastAsia="zh-CN"/>
        </w:rPr>
      </w:pPr>
      <w:r>
        <w:rPr>
          <w:rFonts w:hint="eastAsia"/>
          <w:b/>
          <w:bCs/>
          <w:sz w:val="28"/>
          <w:szCs w:val="28"/>
          <w:highlight w:val="none"/>
          <w:lang w:eastAsia="zh-CN"/>
        </w:rPr>
        <w:t>（二）乙方的权利与义务</w:t>
      </w:r>
    </w:p>
    <w:p w14:paraId="19E5DCE9">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1</w:t>
      </w:r>
      <w:r>
        <w:rPr>
          <w:rFonts w:hint="eastAsia"/>
          <w:sz w:val="28"/>
          <w:szCs w:val="28"/>
          <w:highlight w:val="none"/>
        </w:rPr>
        <w:t>、根据甲方食堂规模和岗位从业人数，及时派遣从业人员，乙方与从业人员须签订相关劳动协议（其中包括：承担从业人员的劳保福利、安全保障、保险缴费、工伤意外风险以及劳务关系纠纷等）。</w:t>
      </w:r>
    </w:p>
    <w:p w14:paraId="55A1AD80">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2</w:t>
      </w:r>
      <w:r>
        <w:rPr>
          <w:rFonts w:hint="eastAsia"/>
          <w:sz w:val="28"/>
          <w:szCs w:val="28"/>
          <w:highlight w:val="none"/>
        </w:rPr>
        <w:t>、认真贯彻落实《中华人民共和国食品安全法</w:t>
      </w:r>
      <w:r>
        <w:rPr>
          <w:sz w:val="28"/>
          <w:szCs w:val="28"/>
          <w:highlight w:val="none"/>
        </w:rPr>
        <w:t xml:space="preserve"> </w:t>
      </w:r>
      <w:r>
        <w:rPr>
          <w:rFonts w:hint="eastAsia"/>
          <w:sz w:val="28"/>
          <w:szCs w:val="28"/>
          <w:highlight w:val="none"/>
        </w:rPr>
        <w:t>》以及《学校食品安全与营养健康管理规定》，制订相适应的配套制度和管理细则，如：色标管理、</w:t>
      </w:r>
      <w:r>
        <w:rPr>
          <w:sz w:val="28"/>
          <w:szCs w:val="28"/>
          <w:highlight w:val="none"/>
        </w:rPr>
        <w:t>6T</w:t>
      </w:r>
      <w:r>
        <w:rPr>
          <w:rFonts w:hint="eastAsia"/>
          <w:sz w:val="28"/>
          <w:szCs w:val="28"/>
          <w:highlight w:val="none"/>
        </w:rPr>
        <w:t>管理方法等，自觉接受上级职能部门对食品卫生的监督。</w:t>
      </w:r>
    </w:p>
    <w:p w14:paraId="675717CE">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3</w:t>
      </w:r>
      <w:r>
        <w:rPr>
          <w:rFonts w:hint="eastAsia"/>
          <w:sz w:val="28"/>
          <w:szCs w:val="28"/>
          <w:highlight w:val="none"/>
        </w:rPr>
        <w:t>、采取可行措施，建立责任体系，负责做好防火、防盗和防止食物中毒等安全工作，因管理不当或人为造成损失和安全事故的，乙方按价赔偿和承担全部责任。</w:t>
      </w:r>
    </w:p>
    <w:p w14:paraId="62EA16DB">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4</w:t>
      </w:r>
      <w:r>
        <w:rPr>
          <w:rFonts w:hint="eastAsia"/>
          <w:sz w:val="28"/>
          <w:szCs w:val="28"/>
          <w:highlight w:val="none"/>
        </w:rPr>
        <w:t>、积极采取可行措施，加强管理，科学合理的制订周食谱及食材配送计划，每周五交由甲方审核并报备食安办审批。在饭菜的供应上，按甲方要求（包含休息日）依据学校相关管理办法供应方式保证中餐供应，在制作上做到“卫生、可口、营养均衡</w:t>
      </w:r>
      <w:r>
        <w:rPr>
          <w:rFonts w:hint="eastAsia"/>
          <w:sz w:val="28"/>
          <w:szCs w:val="28"/>
          <w:highlight w:val="none"/>
          <w:lang w:eastAsia="zh-CN"/>
        </w:rPr>
        <w:t>、</w:t>
      </w:r>
      <w:r>
        <w:rPr>
          <w:rFonts w:hint="eastAsia"/>
          <w:sz w:val="28"/>
          <w:szCs w:val="28"/>
          <w:highlight w:val="none"/>
          <w:lang w:val="en-US" w:eastAsia="zh-CN"/>
        </w:rPr>
        <w:t>合理膳食</w:t>
      </w:r>
      <w:r>
        <w:rPr>
          <w:rFonts w:hint="eastAsia"/>
          <w:sz w:val="28"/>
          <w:szCs w:val="28"/>
          <w:highlight w:val="none"/>
        </w:rPr>
        <w:t>”。</w:t>
      </w:r>
    </w:p>
    <w:p w14:paraId="7DEDC105">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5</w:t>
      </w:r>
      <w:r>
        <w:rPr>
          <w:rFonts w:hint="eastAsia"/>
          <w:sz w:val="28"/>
          <w:szCs w:val="28"/>
          <w:highlight w:val="none"/>
        </w:rPr>
        <w:t>、对食堂所用米面、猪肉、食油等食材依照教育局相关制度</w:t>
      </w:r>
      <w:r>
        <w:rPr>
          <w:sz w:val="28"/>
          <w:szCs w:val="28"/>
          <w:highlight w:val="none"/>
        </w:rPr>
        <w:t>100%</w:t>
      </w:r>
      <w:r>
        <w:rPr>
          <w:rFonts w:hint="eastAsia"/>
          <w:sz w:val="28"/>
          <w:szCs w:val="28"/>
          <w:highlight w:val="none"/>
        </w:rPr>
        <w:t>由配送公司依周食材计划配送。乙方不得私自另行采购食材。确保食材安全。</w:t>
      </w:r>
    </w:p>
    <w:p w14:paraId="49013738">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6</w:t>
      </w:r>
      <w:r>
        <w:rPr>
          <w:rFonts w:hint="eastAsia"/>
          <w:sz w:val="28"/>
          <w:szCs w:val="28"/>
          <w:highlight w:val="none"/>
        </w:rPr>
        <w:t>、协助学校做好设备明细账目，及时报修设备，达到报废年限的按正常程序报废。</w:t>
      </w:r>
    </w:p>
    <w:p w14:paraId="5FC14A22">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7</w:t>
      </w:r>
      <w:r>
        <w:rPr>
          <w:rFonts w:hint="eastAsia"/>
          <w:sz w:val="28"/>
          <w:szCs w:val="28"/>
          <w:highlight w:val="none"/>
        </w:rPr>
        <w:t>、适时对从业人员进行工作培训，定期开展体检、持有健康证才能上岗，统一着装上岗，做到文明、礼貌、微笑服务。</w:t>
      </w:r>
    </w:p>
    <w:p w14:paraId="7A582C55">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rFonts w:hint="eastAsia"/>
          <w:sz w:val="28"/>
          <w:szCs w:val="28"/>
          <w:highlight w:val="none"/>
        </w:rPr>
      </w:pPr>
      <w:r>
        <w:rPr>
          <w:sz w:val="28"/>
          <w:szCs w:val="28"/>
          <w:highlight w:val="none"/>
        </w:rPr>
        <w:t>8</w:t>
      </w:r>
      <w:r>
        <w:rPr>
          <w:rFonts w:hint="eastAsia"/>
          <w:sz w:val="28"/>
          <w:szCs w:val="28"/>
          <w:highlight w:val="none"/>
        </w:rPr>
        <w:t>、乙方在管理食堂时，要严格遵照上级相关文件规定，保证饭菜质量，做好食品留样和各种相关记录。</w:t>
      </w:r>
    </w:p>
    <w:p w14:paraId="0AA56234">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rFonts w:hint="eastAsia"/>
          <w:sz w:val="28"/>
          <w:szCs w:val="28"/>
          <w:highlight w:val="none"/>
          <w:lang w:val="en-US" w:eastAsia="zh-CN"/>
        </w:rPr>
        <w:t>9</w:t>
      </w:r>
      <w:r>
        <w:rPr>
          <w:rFonts w:hint="eastAsia"/>
          <w:sz w:val="28"/>
          <w:szCs w:val="28"/>
          <w:highlight w:val="none"/>
        </w:rPr>
        <w:t>、承担食堂主管（</w:t>
      </w:r>
      <w:r>
        <w:rPr>
          <w:sz w:val="28"/>
          <w:szCs w:val="28"/>
          <w:highlight w:val="none"/>
        </w:rPr>
        <w:t>1</w:t>
      </w:r>
      <w:r>
        <w:rPr>
          <w:rFonts w:hint="eastAsia"/>
          <w:sz w:val="28"/>
          <w:szCs w:val="28"/>
          <w:highlight w:val="none"/>
        </w:rPr>
        <w:t>人）的“五险一金”及寒、暑假期间的基本生活费。</w:t>
      </w:r>
    </w:p>
    <w:p w14:paraId="5CCB9C9F">
      <w:pPr>
        <w:keepNext w:val="0"/>
        <w:keepLines w:val="0"/>
        <w:pageBreakBefore w:val="0"/>
        <w:widowControl w:val="0"/>
        <w:kinsoku/>
        <w:wordWrap/>
        <w:overflowPunct/>
        <w:topLinePunct w:val="0"/>
        <w:autoSpaceDE/>
        <w:autoSpaceDN/>
        <w:bidi w:val="0"/>
        <w:adjustRightInd/>
        <w:snapToGrid/>
        <w:spacing w:line="360" w:lineRule="auto"/>
        <w:ind w:left="0" w:firstLine="562" w:firstLineChars="200"/>
        <w:textAlignment w:val="auto"/>
        <w:rPr>
          <w:rFonts w:hint="eastAsia"/>
          <w:b/>
          <w:bCs/>
          <w:sz w:val="28"/>
          <w:szCs w:val="28"/>
          <w:highlight w:val="none"/>
        </w:rPr>
      </w:pPr>
      <w:r>
        <w:rPr>
          <w:rFonts w:hint="eastAsia"/>
          <w:b/>
          <w:bCs/>
          <w:sz w:val="28"/>
          <w:szCs w:val="28"/>
          <w:highlight w:val="none"/>
        </w:rPr>
        <w:t>第三条：费用的测算及支付方式</w:t>
      </w:r>
    </w:p>
    <w:p w14:paraId="636247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0" w:firstLineChars="200"/>
        <w:textAlignment w:val="auto"/>
        <w:rPr>
          <w:sz w:val="28"/>
          <w:szCs w:val="28"/>
          <w:highlight w:val="none"/>
        </w:rPr>
      </w:pPr>
      <w:r>
        <w:rPr>
          <w:rFonts w:ascii="Times New Roman" w:hAnsi="Times New Roman" w:eastAsia="宋体" w:cs="Times New Roman"/>
          <w:kern w:val="2"/>
          <w:sz w:val="28"/>
          <w:szCs w:val="28"/>
          <w:highlight w:val="none"/>
          <w:lang w:val="en-US" w:eastAsia="zh-CN" w:bidi="ar-SA"/>
        </w:rPr>
        <w:t>1、</w:t>
      </w:r>
      <w:r>
        <w:rPr>
          <w:rFonts w:hint="eastAsia"/>
          <w:sz w:val="28"/>
          <w:szCs w:val="28"/>
          <w:highlight w:val="none"/>
        </w:rPr>
        <w:t>根据在校实际师生数和服务需求，甲乙双方共同协商及时调整食堂工作岗位人数和工资标准。</w:t>
      </w:r>
    </w:p>
    <w:p w14:paraId="4C4F16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0" w:firstLineChars="200"/>
        <w:textAlignment w:val="auto"/>
        <w:rPr>
          <w:sz w:val="28"/>
          <w:szCs w:val="28"/>
          <w:highlight w:val="none"/>
        </w:rPr>
      </w:pPr>
      <w:r>
        <w:rPr>
          <w:rFonts w:ascii="Times New Roman" w:hAnsi="Times New Roman" w:eastAsia="宋体" w:cs="Times New Roman"/>
          <w:kern w:val="2"/>
          <w:sz w:val="28"/>
          <w:szCs w:val="28"/>
          <w:highlight w:val="none"/>
          <w:lang w:val="en-US" w:eastAsia="zh-CN" w:bidi="ar-SA"/>
        </w:rPr>
        <w:t>2、</w:t>
      </w:r>
      <w:r>
        <w:rPr>
          <w:rFonts w:hint="eastAsia"/>
          <w:sz w:val="28"/>
          <w:szCs w:val="28"/>
          <w:highlight w:val="none"/>
          <w:lang w:val="en-US" w:eastAsia="zh-CN"/>
        </w:rPr>
        <w:t>甲方</w:t>
      </w:r>
      <w:r>
        <w:rPr>
          <w:rFonts w:hint="eastAsia"/>
          <w:sz w:val="28"/>
          <w:szCs w:val="28"/>
          <w:highlight w:val="none"/>
        </w:rPr>
        <w:t>支付当月食堂</w:t>
      </w:r>
      <w:r>
        <w:rPr>
          <w:rFonts w:hint="eastAsia"/>
          <w:sz w:val="28"/>
          <w:szCs w:val="28"/>
          <w:highlight w:val="none"/>
          <w:lang w:val="en-US" w:eastAsia="zh-CN"/>
        </w:rPr>
        <w:t>营业额</w:t>
      </w:r>
      <w:r>
        <w:rPr>
          <w:rFonts w:hint="eastAsia"/>
          <w:sz w:val="28"/>
          <w:szCs w:val="28"/>
          <w:highlight w:val="none"/>
        </w:rPr>
        <w:t>额的</w:t>
      </w:r>
      <w:r>
        <w:rPr>
          <w:sz w:val="28"/>
          <w:szCs w:val="28"/>
          <w:highlight w:val="none"/>
        </w:rPr>
        <w:t>2</w:t>
      </w:r>
      <w:r>
        <w:rPr>
          <w:rFonts w:hint="eastAsia"/>
          <w:sz w:val="28"/>
          <w:szCs w:val="28"/>
          <w:highlight w:val="none"/>
          <w:lang w:val="en-US" w:eastAsia="zh-CN"/>
        </w:rPr>
        <w:t>0</w:t>
      </w:r>
      <w:r>
        <w:rPr>
          <w:sz w:val="28"/>
          <w:szCs w:val="28"/>
          <w:highlight w:val="none"/>
        </w:rPr>
        <w:t>%</w:t>
      </w:r>
      <w:r>
        <w:rPr>
          <w:rFonts w:hint="eastAsia"/>
          <w:sz w:val="28"/>
          <w:szCs w:val="28"/>
          <w:highlight w:val="none"/>
        </w:rPr>
        <w:t>作为劳务派遣公司的管理正常费用。工人工资总额的</w:t>
      </w:r>
      <w:r>
        <w:rPr>
          <w:sz w:val="28"/>
          <w:szCs w:val="28"/>
          <w:highlight w:val="none"/>
        </w:rPr>
        <w:t>10%</w:t>
      </w:r>
      <w:r>
        <w:rPr>
          <w:rFonts w:hint="eastAsia"/>
          <w:sz w:val="28"/>
          <w:szCs w:val="28"/>
          <w:highlight w:val="none"/>
        </w:rPr>
        <w:t>作为绩效考核（绩效考核细则另附），学校食堂经营管理考核合格后，每学期结束后，一次性支付。劳务派遣管理费用每年按照支付总额不得超过招标通知书招标的成交金额：</w:t>
      </w:r>
      <w:r>
        <w:rPr>
          <w:rFonts w:hint="eastAsia"/>
          <w:sz w:val="28"/>
          <w:szCs w:val="28"/>
          <w:highlight w:val="none"/>
          <w:lang w:val="en-US" w:eastAsia="zh-CN"/>
        </w:rPr>
        <w:t>叁</w:t>
      </w:r>
      <w:r>
        <w:rPr>
          <w:rFonts w:hint="eastAsia"/>
          <w:sz w:val="28"/>
          <w:szCs w:val="28"/>
          <w:highlight w:val="none"/>
        </w:rPr>
        <w:t>拾</w:t>
      </w:r>
      <w:r>
        <w:rPr>
          <w:rFonts w:hint="eastAsia"/>
          <w:sz w:val="28"/>
          <w:szCs w:val="28"/>
          <w:highlight w:val="none"/>
          <w:lang w:val="en-US" w:eastAsia="zh-CN"/>
        </w:rPr>
        <w:t>伍万贰</w:t>
      </w:r>
      <w:r>
        <w:rPr>
          <w:rFonts w:hint="eastAsia"/>
          <w:sz w:val="28"/>
          <w:szCs w:val="28"/>
          <w:highlight w:val="none"/>
        </w:rPr>
        <w:t>仟元</w:t>
      </w:r>
      <w:r>
        <w:rPr>
          <w:rFonts w:hint="eastAsia"/>
          <w:sz w:val="28"/>
          <w:szCs w:val="28"/>
          <w:highlight w:val="none"/>
          <w:lang w:val="en-US" w:eastAsia="zh-CN"/>
        </w:rPr>
        <w:t>整</w:t>
      </w:r>
      <w:r>
        <w:rPr>
          <w:rFonts w:hint="eastAsia"/>
          <w:sz w:val="28"/>
          <w:szCs w:val="28"/>
          <w:highlight w:val="none"/>
        </w:rPr>
        <w:t>（</w:t>
      </w:r>
      <w:r>
        <w:rPr>
          <w:rFonts w:hint="eastAsia"/>
          <w:sz w:val="28"/>
          <w:szCs w:val="28"/>
          <w:highlight w:val="none"/>
          <w:lang w:val="en-US" w:eastAsia="zh-CN"/>
        </w:rPr>
        <w:t>352000</w:t>
      </w:r>
      <w:r>
        <w:rPr>
          <w:rFonts w:hint="eastAsia"/>
          <w:sz w:val="28"/>
          <w:szCs w:val="28"/>
          <w:highlight w:val="none"/>
        </w:rPr>
        <w:t>元）。</w:t>
      </w:r>
    </w:p>
    <w:p w14:paraId="5D3351A9">
      <w:pPr>
        <w:keepNext w:val="0"/>
        <w:keepLines w:val="0"/>
        <w:pageBreakBefore w:val="0"/>
        <w:widowControl w:val="0"/>
        <w:kinsoku/>
        <w:wordWrap/>
        <w:overflowPunct/>
        <w:topLinePunct w:val="0"/>
        <w:autoSpaceDE/>
        <w:autoSpaceDN/>
        <w:bidi w:val="0"/>
        <w:adjustRightInd/>
        <w:snapToGrid/>
        <w:spacing w:line="360" w:lineRule="auto"/>
        <w:ind w:left="0" w:firstLine="562" w:firstLineChars="200"/>
        <w:textAlignment w:val="auto"/>
        <w:rPr>
          <w:rFonts w:hint="eastAsia"/>
          <w:b/>
          <w:bCs/>
          <w:sz w:val="28"/>
          <w:szCs w:val="28"/>
          <w:highlight w:val="none"/>
        </w:rPr>
      </w:pPr>
      <w:r>
        <w:rPr>
          <w:rFonts w:hint="eastAsia"/>
          <w:b/>
          <w:bCs/>
          <w:sz w:val="28"/>
          <w:szCs w:val="28"/>
          <w:highlight w:val="none"/>
        </w:rPr>
        <w:t>第四条：合同变更、终止</w:t>
      </w:r>
    </w:p>
    <w:p w14:paraId="23153C43">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1</w:t>
      </w:r>
      <w:r>
        <w:rPr>
          <w:rFonts w:hint="eastAsia"/>
          <w:sz w:val="28"/>
          <w:szCs w:val="28"/>
          <w:highlight w:val="none"/>
        </w:rPr>
        <w:t>、甲乙双方在合同期内不得随意变更合同，如确需变更，必须征得双方同意。</w:t>
      </w:r>
    </w:p>
    <w:p w14:paraId="7774D7E9">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2</w:t>
      </w:r>
      <w:r>
        <w:rPr>
          <w:rFonts w:hint="eastAsia"/>
          <w:sz w:val="28"/>
          <w:szCs w:val="28"/>
          <w:highlight w:val="none"/>
        </w:rPr>
        <w:t>、乙方出现食品安全事故，终止合同。</w:t>
      </w:r>
    </w:p>
    <w:p w14:paraId="7BD19868">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3</w:t>
      </w:r>
      <w:r>
        <w:rPr>
          <w:rFonts w:hint="eastAsia"/>
          <w:sz w:val="28"/>
          <w:szCs w:val="28"/>
          <w:highlight w:val="none"/>
        </w:rPr>
        <w:t>、乙方不按照配送制度配送食材的，终止合同。</w:t>
      </w:r>
    </w:p>
    <w:p w14:paraId="6C766CA4">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4</w:t>
      </w:r>
      <w:r>
        <w:rPr>
          <w:rFonts w:hint="eastAsia"/>
          <w:sz w:val="28"/>
          <w:szCs w:val="28"/>
          <w:highlight w:val="none"/>
        </w:rPr>
        <w:t>、如果乙方在经营管理时出现饭菜质量或管理问题，导致学生</w:t>
      </w:r>
    </w:p>
    <w:p w14:paraId="4EF5A61E">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rFonts w:hint="eastAsia"/>
          <w:sz w:val="28"/>
          <w:szCs w:val="28"/>
          <w:highlight w:val="none"/>
        </w:rPr>
        <w:t>投诉或上级监管部门处罚时，每出现一次，在劳务派遣费用中扣除</w:t>
      </w:r>
      <w:r>
        <w:rPr>
          <w:sz w:val="28"/>
          <w:szCs w:val="28"/>
          <w:highlight w:val="none"/>
        </w:rPr>
        <w:t>300</w:t>
      </w:r>
      <w:r>
        <w:rPr>
          <w:rFonts w:hint="eastAsia"/>
          <w:sz w:val="28"/>
          <w:szCs w:val="28"/>
          <w:highlight w:val="none"/>
        </w:rPr>
        <w:t>元。一学期内出现三次以上时，下一学年不再续签食堂劳务派遣</w:t>
      </w:r>
    </w:p>
    <w:p w14:paraId="62FAC614">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rFonts w:hint="eastAsia"/>
          <w:sz w:val="28"/>
          <w:szCs w:val="28"/>
          <w:highlight w:val="none"/>
        </w:rPr>
        <w:t>合同。</w:t>
      </w:r>
    </w:p>
    <w:p w14:paraId="6DCCC9C2">
      <w:pPr>
        <w:keepNext w:val="0"/>
        <w:keepLines w:val="0"/>
        <w:pageBreakBefore w:val="0"/>
        <w:widowControl w:val="0"/>
        <w:kinsoku/>
        <w:wordWrap/>
        <w:overflowPunct/>
        <w:topLinePunct w:val="0"/>
        <w:autoSpaceDE/>
        <w:autoSpaceDN/>
        <w:bidi w:val="0"/>
        <w:adjustRightInd/>
        <w:snapToGrid/>
        <w:spacing w:line="360" w:lineRule="auto"/>
        <w:ind w:left="0" w:firstLine="562" w:firstLineChars="200"/>
        <w:textAlignment w:val="auto"/>
        <w:rPr>
          <w:rFonts w:hint="eastAsia"/>
          <w:b/>
          <w:bCs/>
          <w:sz w:val="28"/>
          <w:szCs w:val="28"/>
          <w:highlight w:val="none"/>
        </w:rPr>
      </w:pPr>
      <w:r>
        <w:rPr>
          <w:rFonts w:hint="eastAsia"/>
          <w:b/>
          <w:bCs/>
          <w:sz w:val="28"/>
          <w:szCs w:val="28"/>
          <w:highlight w:val="none"/>
        </w:rPr>
        <w:t>第五条：违约责任与争议解决</w:t>
      </w:r>
    </w:p>
    <w:p w14:paraId="7A051AE6">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1</w:t>
      </w:r>
      <w:r>
        <w:rPr>
          <w:rFonts w:hint="eastAsia"/>
          <w:sz w:val="28"/>
          <w:szCs w:val="28"/>
          <w:highlight w:val="none"/>
        </w:rPr>
        <w:t>、甲乙双方不得无故终止本合同，逾特殊情况确需解除合同的，必须提前一个月通知对方，协商办理相关手续。</w:t>
      </w:r>
    </w:p>
    <w:p w14:paraId="1045A18E">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2</w:t>
      </w:r>
      <w:r>
        <w:rPr>
          <w:rFonts w:hint="eastAsia"/>
          <w:sz w:val="28"/>
          <w:szCs w:val="28"/>
          <w:highlight w:val="none"/>
        </w:rPr>
        <w:t>、甲方提前解除合同，应续付乙方每名工人一个月基本工资作为生活补助费。</w:t>
      </w:r>
    </w:p>
    <w:p w14:paraId="53D4CC25">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3</w:t>
      </w:r>
      <w:r>
        <w:rPr>
          <w:rFonts w:hint="eastAsia"/>
          <w:sz w:val="28"/>
          <w:szCs w:val="28"/>
          <w:highlight w:val="none"/>
        </w:rPr>
        <w:t>、乙方提前解除合同，应当退回相应的服务费，并赔偿甲方由此产生的经济损失。</w:t>
      </w:r>
    </w:p>
    <w:p w14:paraId="070E41DB">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4</w:t>
      </w:r>
      <w:r>
        <w:rPr>
          <w:rFonts w:hint="eastAsia"/>
          <w:sz w:val="28"/>
          <w:szCs w:val="28"/>
          <w:highlight w:val="none"/>
        </w:rPr>
        <w:t>、甲乙双方在执行本合同中发生争议时，应友好协商解决，协商未果，任何乙方可向当地合同仲裁机关或向人民法院诉讼。</w:t>
      </w:r>
    </w:p>
    <w:p w14:paraId="43ACBCD8">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5</w:t>
      </w:r>
      <w:r>
        <w:rPr>
          <w:rFonts w:hint="eastAsia"/>
          <w:sz w:val="28"/>
          <w:szCs w:val="28"/>
          <w:highlight w:val="none"/>
        </w:rPr>
        <w:t>、因乙方不能履行职责终止合同时，应退回前三个月的管理服务费。</w:t>
      </w:r>
    </w:p>
    <w:p w14:paraId="22312561">
      <w:pPr>
        <w:keepNext w:val="0"/>
        <w:keepLines w:val="0"/>
        <w:pageBreakBefore w:val="0"/>
        <w:widowControl w:val="0"/>
        <w:kinsoku/>
        <w:wordWrap/>
        <w:overflowPunct/>
        <w:topLinePunct w:val="0"/>
        <w:autoSpaceDE/>
        <w:autoSpaceDN/>
        <w:bidi w:val="0"/>
        <w:adjustRightInd/>
        <w:snapToGrid/>
        <w:spacing w:line="360" w:lineRule="auto"/>
        <w:ind w:left="0" w:firstLine="562" w:firstLineChars="200"/>
        <w:textAlignment w:val="auto"/>
        <w:rPr>
          <w:rFonts w:hint="eastAsia"/>
          <w:b/>
          <w:bCs/>
          <w:sz w:val="28"/>
          <w:szCs w:val="28"/>
          <w:highlight w:val="none"/>
        </w:rPr>
      </w:pPr>
      <w:r>
        <w:rPr>
          <w:rFonts w:hint="eastAsia"/>
          <w:b/>
          <w:bCs/>
          <w:sz w:val="28"/>
          <w:szCs w:val="28"/>
          <w:highlight w:val="none"/>
        </w:rPr>
        <w:t>第六条：合同效力</w:t>
      </w:r>
    </w:p>
    <w:p w14:paraId="5E01DDFC">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1</w:t>
      </w:r>
      <w:r>
        <w:rPr>
          <w:rFonts w:hint="eastAsia"/>
          <w:sz w:val="28"/>
          <w:szCs w:val="28"/>
          <w:highlight w:val="none"/>
        </w:rPr>
        <w:t>、本合同一式三份，经甲、乙双方签字盖章后生效，双方各执一份，报教育局备案一份。</w:t>
      </w:r>
    </w:p>
    <w:p w14:paraId="01E4132D">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sz w:val="28"/>
          <w:szCs w:val="28"/>
          <w:highlight w:val="none"/>
        </w:rPr>
      </w:pPr>
      <w:r>
        <w:rPr>
          <w:sz w:val="28"/>
          <w:szCs w:val="28"/>
          <w:highlight w:val="none"/>
        </w:rPr>
        <w:t>2</w:t>
      </w:r>
      <w:r>
        <w:rPr>
          <w:rFonts w:hint="eastAsia"/>
          <w:sz w:val="28"/>
          <w:szCs w:val="28"/>
          <w:highlight w:val="none"/>
        </w:rPr>
        <w:t>、本合同未尽事宜，由甲、乙方双方协商可签订补充协议，补充协议与本合同具有同等法律效力。</w:t>
      </w:r>
    </w:p>
    <w:p w14:paraId="66329DFA">
      <w:pPr>
        <w:spacing w:line="480" w:lineRule="auto"/>
        <w:rPr>
          <w:sz w:val="28"/>
          <w:szCs w:val="28"/>
          <w:highlight w:val="none"/>
        </w:rPr>
      </w:pPr>
    </w:p>
    <w:p w14:paraId="5666340F">
      <w:pPr>
        <w:spacing w:line="480" w:lineRule="auto"/>
        <w:rPr>
          <w:rFonts w:hint="eastAsia" w:eastAsia="宋体"/>
          <w:sz w:val="28"/>
          <w:szCs w:val="28"/>
          <w:highlight w:val="none"/>
          <w:lang w:eastAsia="zh-CN"/>
        </w:rPr>
      </w:pPr>
      <w:r>
        <w:rPr>
          <w:rFonts w:hint="eastAsia"/>
          <w:sz w:val="28"/>
          <w:szCs w:val="28"/>
          <w:highlight w:val="none"/>
        </w:rPr>
        <w:t>甲方：（盖章有效）</w:t>
      </w:r>
      <w:r>
        <w:rPr>
          <w:rFonts w:hint="eastAsia"/>
          <w:sz w:val="28"/>
          <w:szCs w:val="28"/>
          <w:highlight w:val="none"/>
          <w:lang w:val="en-US" w:eastAsia="zh-CN"/>
        </w:rPr>
        <w:t xml:space="preserve">       </w:t>
      </w:r>
      <w:r>
        <w:rPr>
          <w:sz w:val="28"/>
          <w:szCs w:val="28"/>
          <w:highlight w:val="none"/>
        </w:rPr>
        <w:t xml:space="preserve"> </w:t>
      </w:r>
      <w:r>
        <w:rPr>
          <w:rFonts w:hint="eastAsia"/>
          <w:sz w:val="28"/>
          <w:szCs w:val="28"/>
          <w:highlight w:val="none"/>
        </w:rPr>
        <w:t>法定代表人（委托代理人）签字</w:t>
      </w:r>
      <w:r>
        <w:rPr>
          <w:rFonts w:hint="eastAsia"/>
          <w:sz w:val="28"/>
          <w:szCs w:val="28"/>
          <w:highlight w:val="none"/>
          <w:lang w:eastAsia="zh-CN"/>
        </w:rPr>
        <w:t>：</w:t>
      </w:r>
    </w:p>
    <w:p w14:paraId="36495F83">
      <w:pPr>
        <w:spacing w:line="480" w:lineRule="auto"/>
        <w:ind w:firstLine="5880" w:firstLineChars="2100"/>
        <w:rPr>
          <w:sz w:val="28"/>
          <w:szCs w:val="28"/>
          <w:highlight w:val="none"/>
        </w:rPr>
      </w:pPr>
      <w:r>
        <w:rPr>
          <w:sz w:val="28"/>
          <w:szCs w:val="28"/>
          <w:highlight w:val="none"/>
        </w:rPr>
        <w:t xml:space="preserve"> </w:t>
      </w:r>
      <w:r>
        <w:rPr>
          <w:rFonts w:hint="eastAsia"/>
          <w:sz w:val="28"/>
          <w:szCs w:val="28"/>
          <w:highlight w:val="none"/>
        </w:rPr>
        <w:t>年</w:t>
      </w:r>
      <w:r>
        <w:rPr>
          <w:sz w:val="28"/>
          <w:szCs w:val="28"/>
          <w:highlight w:val="none"/>
        </w:rPr>
        <w:t xml:space="preserve">   </w:t>
      </w:r>
      <w:r>
        <w:rPr>
          <w:rFonts w:hint="eastAsia"/>
          <w:sz w:val="28"/>
          <w:szCs w:val="28"/>
          <w:highlight w:val="none"/>
        </w:rPr>
        <w:t>月</w:t>
      </w:r>
      <w:r>
        <w:rPr>
          <w:sz w:val="28"/>
          <w:szCs w:val="28"/>
          <w:highlight w:val="none"/>
        </w:rPr>
        <w:t xml:space="preserve">   </w:t>
      </w:r>
      <w:r>
        <w:rPr>
          <w:rFonts w:hint="eastAsia"/>
          <w:sz w:val="28"/>
          <w:szCs w:val="28"/>
          <w:highlight w:val="none"/>
        </w:rPr>
        <w:t>日</w:t>
      </w:r>
    </w:p>
    <w:p w14:paraId="57034485">
      <w:pPr>
        <w:spacing w:line="480" w:lineRule="auto"/>
        <w:rPr>
          <w:sz w:val="28"/>
          <w:szCs w:val="28"/>
          <w:highlight w:val="none"/>
        </w:rPr>
      </w:pPr>
    </w:p>
    <w:p w14:paraId="195B2692">
      <w:pPr>
        <w:spacing w:line="480" w:lineRule="auto"/>
        <w:rPr>
          <w:sz w:val="28"/>
          <w:szCs w:val="28"/>
          <w:highlight w:val="none"/>
        </w:rPr>
      </w:pPr>
      <w:r>
        <w:rPr>
          <w:rFonts w:hint="eastAsia"/>
          <w:sz w:val="28"/>
          <w:szCs w:val="28"/>
          <w:highlight w:val="none"/>
        </w:rPr>
        <w:t>乙方：（盖章有效）</w:t>
      </w:r>
      <w:r>
        <w:rPr>
          <w:rFonts w:hint="eastAsia"/>
          <w:sz w:val="28"/>
          <w:szCs w:val="28"/>
          <w:highlight w:val="none"/>
          <w:lang w:val="en-US" w:eastAsia="zh-CN"/>
        </w:rPr>
        <w:t xml:space="preserve">        </w:t>
      </w:r>
      <w:r>
        <w:rPr>
          <w:rFonts w:hint="eastAsia"/>
          <w:sz w:val="28"/>
          <w:szCs w:val="28"/>
          <w:highlight w:val="none"/>
        </w:rPr>
        <w:t>法定代表人签字：</w:t>
      </w:r>
    </w:p>
    <w:p w14:paraId="5CE60F82">
      <w:pPr>
        <w:spacing w:line="480" w:lineRule="auto"/>
        <w:ind w:firstLine="5880" w:firstLineChars="2100"/>
        <w:rPr>
          <w:sz w:val="28"/>
          <w:szCs w:val="28"/>
          <w:highlight w:val="none"/>
        </w:rPr>
      </w:pPr>
      <w:r>
        <w:rPr>
          <w:rFonts w:hint="eastAsia"/>
          <w:sz w:val="28"/>
          <w:szCs w:val="28"/>
          <w:highlight w:val="none"/>
        </w:rPr>
        <w:t>年</w:t>
      </w:r>
      <w:r>
        <w:rPr>
          <w:sz w:val="28"/>
          <w:szCs w:val="28"/>
          <w:highlight w:val="none"/>
        </w:rPr>
        <w:t xml:space="preserve">   </w:t>
      </w:r>
      <w:r>
        <w:rPr>
          <w:rFonts w:hint="eastAsia"/>
          <w:sz w:val="28"/>
          <w:szCs w:val="28"/>
          <w:highlight w:val="none"/>
        </w:rPr>
        <w:t>月</w:t>
      </w:r>
      <w:r>
        <w:rPr>
          <w:sz w:val="28"/>
          <w:szCs w:val="28"/>
          <w:highlight w:val="none"/>
        </w:rPr>
        <w:t xml:space="preserve">   </w:t>
      </w:r>
      <w:r>
        <w:rPr>
          <w:rFonts w:hint="eastAsia"/>
          <w:sz w:val="28"/>
          <w:szCs w:val="28"/>
          <w:highlight w:val="none"/>
        </w:rPr>
        <w:t>日</w:t>
      </w:r>
      <w:r>
        <w:rPr>
          <w:sz w:val="28"/>
          <w:szCs w:val="28"/>
          <w:highlight w:val="none"/>
        </w:rPr>
        <w:t xml:space="preserve"> </w:t>
      </w:r>
    </w:p>
    <w:p w14:paraId="5041450C">
      <w:pPr>
        <w:rPr>
          <w:sz w:val="28"/>
          <w:szCs w:val="28"/>
          <w:highlight w:val="none"/>
        </w:rPr>
      </w:pPr>
      <w:r>
        <w:rPr>
          <w:sz w:val="28"/>
          <w:szCs w:val="28"/>
          <w:highlight w:val="none"/>
        </w:rPr>
        <w:br w:type="page"/>
      </w:r>
    </w:p>
    <w:tbl>
      <w:tblPr>
        <w:tblStyle w:val="34"/>
        <w:tblW w:w="9198" w:type="dxa"/>
        <w:jc w:val="center"/>
        <w:tblLayout w:type="autofit"/>
        <w:tblCellMar>
          <w:top w:w="0" w:type="dxa"/>
          <w:left w:w="108" w:type="dxa"/>
          <w:bottom w:w="0" w:type="dxa"/>
          <w:right w:w="108" w:type="dxa"/>
        </w:tblCellMar>
      </w:tblPr>
      <w:tblGrid>
        <w:gridCol w:w="842"/>
        <w:gridCol w:w="6095"/>
        <w:gridCol w:w="992"/>
        <w:gridCol w:w="1269"/>
      </w:tblGrid>
      <w:tr w14:paraId="4B3DDAA4">
        <w:tblPrEx>
          <w:tblCellMar>
            <w:top w:w="0" w:type="dxa"/>
            <w:left w:w="108" w:type="dxa"/>
            <w:bottom w:w="0" w:type="dxa"/>
            <w:right w:w="108" w:type="dxa"/>
          </w:tblCellMar>
        </w:tblPrEx>
        <w:trPr>
          <w:trHeight w:val="825" w:hRule="atLeast"/>
          <w:jc w:val="center"/>
        </w:trPr>
        <w:tc>
          <w:tcPr>
            <w:tcW w:w="9198" w:type="dxa"/>
            <w:gridSpan w:val="4"/>
            <w:tcBorders>
              <w:top w:val="nil"/>
              <w:left w:val="nil"/>
              <w:bottom w:val="single" w:color="auto" w:sz="4" w:space="0"/>
              <w:right w:val="nil"/>
            </w:tcBorders>
            <w:noWrap/>
            <w:vAlign w:val="center"/>
          </w:tcPr>
          <w:p w14:paraId="1C09CC5C">
            <w:pPr>
              <w:widowControl/>
              <w:jc w:val="center"/>
              <w:rPr>
                <w:rFonts w:ascii="仿宋" w:hAnsi="仿宋" w:eastAsia="仿宋" w:cs="宋体"/>
                <w:b/>
                <w:bCs/>
                <w:color w:val="000000"/>
                <w:kern w:val="0"/>
                <w:sz w:val="40"/>
                <w:szCs w:val="40"/>
                <w:highlight w:val="none"/>
              </w:rPr>
            </w:pPr>
            <w:r>
              <w:rPr>
                <w:rFonts w:hint="eastAsia" w:ascii="仿宋" w:hAnsi="仿宋" w:eastAsia="仿宋" w:cs="宋体"/>
                <w:b/>
                <w:bCs/>
                <w:color w:val="000000"/>
                <w:kern w:val="0"/>
                <w:sz w:val="36"/>
                <w:szCs w:val="36"/>
                <w:highlight w:val="none"/>
                <w:lang w:val="en-US" w:eastAsia="zh-CN"/>
              </w:rPr>
              <w:t>霍山县城关小学</w:t>
            </w:r>
            <w:r>
              <w:rPr>
                <w:rFonts w:hint="eastAsia" w:ascii="仿宋" w:hAnsi="仿宋" w:eastAsia="仿宋" w:cs="宋体"/>
                <w:b/>
                <w:bCs/>
                <w:color w:val="000000"/>
                <w:kern w:val="0"/>
                <w:sz w:val="36"/>
                <w:szCs w:val="36"/>
                <w:highlight w:val="none"/>
              </w:rPr>
              <w:t>食堂劳务派遣绩效考核细则</w:t>
            </w:r>
          </w:p>
        </w:tc>
      </w:tr>
      <w:tr w14:paraId="111FA521">
        <w:tblPrEx>
          <w:tblCellMar>
            <w:top w:w="0" w:type="dxa"/>
            <w:left w:w="108" w:type="dxa"/>
            <w:bottom w:w="0" w:type="dxa"/>
            <w:right w:w="108" w:type="dxa"/>
          </w:tblCellMar>
        </w:tblPrEx>
        <w:trPr>
          <w:trHeight w:val="725" w:hRule="atLeast"/>
          <w:jc w:val="center"/>
        </w:trPr>
        <w:tc>
          <w:tcPr>
            <w:tcW w:w="842" w:type="dxa"/>
            <w:tcBorders>
              <w:top w:val="nil"/>
              <w:left w:val="single" w:color="auto" w:sz="4" w:space="0"/>
              <w:bottom w:val="single" w:color="auto" w:sz="4" w:space="0"/>
              <w:right w:val="single" w:color="auto" w:sz="4" w:space="0"/>
            </w:tcBorders>
            <w:noWrap/>
            <w:vAlign w:val="center"/>
          </w:tcPr>
          <w:p w14:paraId="18A0AD8E">
            <w:pPr>
              <w:widowControl/>
              <w:jc w:val="left"/>
              <w:rPr>
                <w:rFonts w:ascii="宋体" w:cs="宋体"/>
                <w:color w:val="000000"/>
                <w:kern w:val="0"/>
                <w:sz w:val="30"/>
                <w:szCs w:val="30"/>
                <w:highlight w:val="none"/>
              </w:rPr>
            </w:pPr>
            <w:r>
              <w:rPr>
                <w:rFonts w:hint="eastAsia" w:ascii="宋体" w:hAnsi="宋体" w:cs="宋体"/>
                <w:color w:val="000000"/>
                <w:kern w:val="0"/>
                <w:sz w:val="30"/>
                <w:szCs w:val="30"/>
                <w:highlight w:val="none"/>
              </w:rPr>
              <w:t>序号</w:t>
            </w:r>
          </w:p>
        </w:tc>
        <w:tc>
          <w:tcPr>
            <w:tcW w:w="6095" w:type="dxa"/>
            <w:tcBorders>
              <w:top w:val="nil"/>
              <w:left w:val="nil"/>
              <w:bottom w:val="single" w:color="auto" w:sz="4" w:space="0"/>
              <w:right w:val="single" w:color="auto" w:sz="4" w:space="0"/>
            </w:tcBorders>
            <w:noWrap/>
            <w:vAlign w:val="center"/>
          </w:tcPr>
          <w:p w14:paraId="1C93844F">
            <w:pPr>
              <w:widowControl/>
              <w:jc w:val="center"/>
              <w:rPr>
                <w:rFonts w:ascii="宋体" w:cs="宋体"/>
                <w:color w:val="000000"/>
                <w:kern w:val="0"/>
                <w:sz w:val="36"/>
                <w:szCs w:val="36"/>
                <w:highlight w:val="none"/>
              </w:rPr>
            </w:pPr>
            <w:r>
              <w:rPr>
                <w:rFonts w:hint="eastAsia" w:ascii="宋体" w:hAnsi="宋体" w:cs="宋体"/>
                <w:color w:val="000000"/>
                <w:kern w:val="0"/>
                <w:sz w:val="36"/>
                <w:szCs w:val="36"/>
                <w:highlight w:val="none"/>
              </w:rPr>
              <w:t>评分项</w:t>
            </w:r>
          </w:p>
        </w:tc>
        <w:tc>
          <w:tcPr>
            <w:tcW w:w="992" w:type="dxa"/>
            <w:tcBorders>
              <w:top w:val="nil"/>
              <w:left w:val="nil"/>
              <w:bottom w:val="single" w:color="auto" w:sz="4" w:space="0"/>
              <w:right w:val="single" w:color="auto" w:sz="4" w:space="0"/>
            </w:tcBorders>
            <w:noWrap/>
            <w:vAlign w:val="center"/>
          </w:tcPr>
          <w:p w14:paraId="708F7DFE">
            <w:pPr>
              <w:widowControl/>
              <w:jc w:val="left"/>
              <w:rPr>
                <w:rFonts w:ascii="宋体" w:cs="宋体"/>
                <w:color w:val="000000"/>
                <w:kern w:val="0"/>
                <w:sz w:val="32"/>
                <w:szCs w:val="32"/>
                <w:highlight w:val="none"/>
              </w:rPr>
            </w:pPr>
            <w:r>
              <w:rPr>
                <w:rFonts w:hint="eastAsia" w:ascii="宋体" w:hAnsi="宋体" w:cs="宋体"/>
                <w:color w:val="000000"/>
                <w:kern w:val="0"/>
                <w:sz w:val="32"/>
                <w:szCs w:val="32"/>
                <w:highlight w:val="none"/>
              </w:rPr>
              <w:t>分值</w:t>
            </w:r>
          </w:p>
        </w:tc>
        <w:tc>
          <w:tcPr>
            <w:tcW w:w="1269" w:type="dxa"/>
            <w:tcBorders>
              <w:top w:val="nil"/>
              <w:left w:val="nil"/>
              <w:bottom w:val="single" w:color="auto" w:sz="4" w:space="0"/>
              <w:right w:val="single" w:color="auto" w:sz="4" w:space="0"/>
            </w:tcBorders>
            <w:noWrap/>
            <w:vAlign w:val="center"/>
          </w:tcPr>
          <w:p w14:paraId="665ACE59">
            <w:pPr>
              <w:widowControl/>
              <w:jc w:val="left"/>
              <w:rPr>
                <w:rFonts w:ascii="宋体" w:cs="宋体"/>
                <w:color w:val="000000"/>
                <w:kern w:val="0"/>
                <w:sz w:val="32"/>
                <w:szCs w:val="32"/>
                <w:highlight w:val="none"/>
              </w:rPr>
            </w:pPr>
            <w:r>
              <w:rPr>
                <w:rFonts w:hint="eastAsia" w:ascii="宋体" w:hAnsi="宋体" w:cs="宋体"/>
                <w:color w:val="000000"/>
                <w:kern w:val="0"/>
                <w:sz w:val="32"/>
                <w:szCs w:val="32"/>
                <w:highlight w:val="none"/>
              </w:rPr>
              <w:t>考核分</w:t>
            </w:r>
          </w:p>
        </w:tc>
      </w:tr>
      <w:tr w14:paraId="26E68D0E">
        <w:tblPrEx>
          <w:tblCellMar>
            <w:top w:w="0" w:type="dxa"/>
            <w:left w:w="108" w:type="dxa"/>
            <w:bottom w:w="0" w:type="dxa"/>
            <w:right w:w="108" w:type="dxa"/>
          </w:tblCellMar>
        </w:tblPrEx>
        <w:trPr>
          <w:trHeight w:val="1118" w:hRule="atLeast"/>
          <w:jc w:val="center"/>
        </w:trPr>
        <w:tc>
          <w:tcPr>
            <w:tcW w:w="842" w:type="dxa"/>
            <w:tcBorders>
              <w:top w:val="nil"/>
              <w:left w:val="single" w:color="auto" w:sz="4" w:space="0"/>
              <w:bottom w:val="single" w:color="auto" w:sz="4" w:space="0"/>
              <w:right w:val="single" w:color="auto" w:sz="4" w:space="0"/>
            </w:tcBorders>
            <w:noWrap/>
            <w:vAlign w:val="center"/>
          </w:tcPr>
          <w:p w14:paraId="0BB78C32">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1</w:t>
            </w:r>
          </w:p>
        </w:tc>
        <w:tc>
          <w:tcPr>
            <w:tcW w:w="6095" w:type="dxa"/>
            <w:tcBorders>
              <w:top w:val="nil"/>
              <w:left w:val="nil"/>
              <w:bottom w:val="single" w:color="auto" w:sz="4" w:space="0"/>
              <w:right w:val="single" w:color="auto" w:sz="4" w:space="0"/>
            </w:tcBorders>
            <w:vAlign w:val="center"/>
          </w:tcPr>
          <w:p w14:paraId="215DB393">
            <w:pPr>
              <w:widowControl/>
              <w:jc w:val="left"/>
              <w:rPr>
                <w:rFonts w:ascii="仿宋" w:hAnsi="仿宋" w:eastAsia="仿宋" w:cs="宋体"/>
                <w:color w:val="000000"/>
                <w:kern w:val="0"/>
                <w:sz w:val="28"/>
                <w:szCs w:val="28"/>
                <w:highlight w:val="none"/>
              </w:rPr>
            </w:pPr>
            <w:r>
              <w:rPr>
                <w:rFonts w:hint="eastAsia" w:ascii="仿宋" w:hAnsi="仿宋" w:eastAsia="仿宋" w:cs="宋体"/>
                <w:color w:val="000000"/>
                <w:kern w:val="0"/>
                <w:sz w:val="28"/>
                <w:szCs w:val="28"/>
                <w:highlight w:val="none"/>
              </w:rPr>
              <w:t>劳务派遣公司为食堂职工的意外风险金，主要是职工在食堂上班期间安全风险抵押金。</w:t>
            </w:r>
          </w:p>
        </w:tc>
        <w:tc>
          <w:tcPr>
            <w:tcW w:w="992" w:type="dxa"/>
            <w:tcBorders>
              <w:top w:val="nil"/>
              <w:left w:val="nil"/>
              <w:bottom w:val="single" w:color="auto" w:sz="4" w:space="0"/>
              <w:right w:val="single" w:color="auto" w:sz="4" w:space="0"/>
            </w:tcBorders>
            <w:noWrap/>
            <w:vAlign w:val="center"/>
          </w:tcPr>
          <w:p w14:paraId="2956D071">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10</w:t>
            </w:r>
          </w:p>
        </w:tc>
        <w:tc>
          <w:tcPr>
            <w:tcW w:w="1269" w:type="dxa"/>
            <w:tcBorders>
              <w:top w:val="nil"/>
              <w:left w:val="nil"/>
              <w:bottom w:val="single" w:color="auto" w:sz="4" w:space="0"/>
              <w:right w:val="single" w:color="auto" w:sz="4" w:space="0"/>
            </w:tcBorders>
            <w:noWrap/>
            <w:vAlign w:val="center"/>
          </w:tcPr>
          <w:p w14:paraId="5F6D73CA">
            <w:pPr>
              <w:widowControl/>
              <w:jc w:val="left"/>
              <w:rPr>
                <w:rFonts w:ascii="宋体" w:cs="宋体"/>
                <w:color w:val="000000"/>
                <w:kern w:val="0"/>
                <w:sz w:val="28"/>
                <w:szCs w:val="28"/>
                <w:highlight w:val="none"/>
              </w:rPr>
            </w:pPr>
            <w:r>
              <w:rPr>
                <w:rFonts w:hint="eastAsia" w:ascii="宋体" w:hAnsi="宋体" w:cs="宋体"/>
                <w:color w:val="000000"/>
                <w:kern w:val="0"/>
                <w:sz w:val="28"/>
                <w:szCs w:val="28"/>
                <w:highlight w:val="none"/>
              </w:rPr>
              <w:t>　</w:t>
            </w:r>
          </w:p>
        </w:tc>
      </w:tr>
      <w:tr w14:paraId="7D1B8FF2">
        <w:tblPrEx>
          <w:tblCellMar>
            <w:top w:w="0" w:type="dxa"/>
            <w:left w:w="108" w:type="dxa"/>
            <w:bottom w:w="0" w:type="dxa"/>
            <w:right w:w="108" w:type="dxa"/>
          </w:tblCellMar>
        </w:tblPrEx>
        <w:trPr>
          <w:trHeight w:val="1035" w:hRule="atLeast"/>
          <w:jc w:val="center"/>
        </w:trPr>
        <w:tc>
          <w:tcPr>
            <w:tcW w:w="842" w:type="dxa"/>
            <w:tcBorders>
              <w:top w:val="nil"/>
              <w:left w:val="single" w:color="auto" w:sz="4" w:space="0"/>
              <w:bottom w:val="single" w:color="auto" w:sz="4" w:space="0"/>
              <w:right w:val="single" w:color="auto" w:sz="4" w:space="0"/>
            </w:tcBorders>
            <w:noWrap/>
            <w:vAlign w:val="center"/>
          </w:tcPr>
          <w:p w14:paraId="08F7D0E8">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2</w:t>
            </w:r>
          </w:p>
        </w:tc>
        <w:tc>
          <w:tcPr>
            <w:tcW w:w="6095" w:type="dxa"/>
            <w:tcBorders>
              <w:top w:val="nil"/>
              <w:left w:val="nil"/>
              <w:bottom w:val="single" w:color="auto" w:sz="4" w:space="0"/>
              <w:right w:val="single" w:color="auto" w:sz="4" w:space="0"/>
            </w:tcBorders>
            <w:vAlign w:val="center"/>
          </w:tcPr>
          <w:p w14:paraId="4774ED89">
            <w:pPr>
              <w:widowControl/>
              <w:jc w:val="left"/>
              <w:rPr>
                <w:rFonts w:ascii="仿宋" w:hAnsi="仿宋" w:eastAsia="仿宋" w:cs="宋体"/>
                <w:color w:val="000000"/>
                <w:kern w:val="0"/>
                <w:sz w:val="28"/>
                <w:szCs w:val="28"/>
                <w:highlight w:val="none"/>
              </w:rPr>
            </w:pPr>
            <w:r>
              <w:rPr>
                <w:rFonts w:hint="eastAsia" w:ascii="仿宋" w:hAnsi="仿宋" w:eastAsia="仿宋" w:cs="宋体"/>
                <w:color w:val="000000"/>
                <w:kern w:val="0"/>
                <w:sz w:val="28"/>
                <w:szCs w:val="28"/>
                <w:highlight w:val="none"/>
              </w:rPr>
              <w:t>根据甲方食堂规模和岗位从业人数，及时派遣从业人员</w:t>
            </w:r>
          </w:p>
        </w:tc>
        <w:tc>
          <w:tcPr>
            <w:tcW w:w="992" w:type="dxa"/>
            <w:tcBorders>
              <w:top w:val="nil"/>
              <w:left w:val="nil"/>
              <w:bottom w:val="single" w:color="auto" w:sz="4" w:space="0"/>
              <w:right w:val="single" w:color="auto" w:sz="4" w:space="0"/>
            </w:tcBorders>
            <w:noWrap/>
            <w:vAlign w:val="center"/>
          </w:tcPr>
          <w:p w14:paraId="757A0D08">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10</w:t>
            </w:r>
          </w:p>
        </w:tc>
        <w:tc>
          <w:tcPr>
            <w:tcW w:w="1269" w:type="dxa"/>
            <w:tcBorders>
              <w:top w:val="nil"/>
              <w:left w:val="nil"/>
              <w:bottom w:val="single" w:color="auto" w:sz="4" w:space="0"/>
              <w:right w:val="single" w:color="auto" w:sz="4" w:space="0"/>
            </w:tcBorders>
            <w:noWrap/>
            <w:vAlign w:val="center"/>
          </w:tcPr>
          <w:p w14:paraId="1B661913">
            <w:pPr>
              <w:widowControl/>
              <w:jc w:val="left"/>
              <w:rPr>
                <w:rFonts w:ascii="宋体" w:cs="宋体"/>
                <w:color w:val="000000"/>
                <w:kern w:val="0"/>
                <w:sz w:val="28"/>
                <w:szCs w:val="28"/>
                <w:highlight w:val="none"/>
              </w:rPr>
            </w:pPr>
            <w:r>
              <w:rPr>
                <w:rFonts w:hint="eastAsia" w:ascii="宋体" w:hAnsi="宋体" w:cs="宋体"/>
                <w:color w:val="000000"/>
                <w:kern w:val="0"/>
                <w:sz w:val="28"/>
                <w:szCs w:val="28"/>
                <w:highlight w:val="none"/>
              </w:rPr>
              <w:t>　</w:t>
            </w:r>
          </w:p>
        </w:tc>
      </w:tr>
      <w:tr w14:paraId="4C49B5EC">
        <w:tblPrEx>
          <w:tblCellMar>
            <w:top w:w="0" w:type="dxa"/>
            <w:left w:w="108" w:type="dxa"/>
            <w:bottom w:w="0" w:type="dxa"/>
            <w:right w:w="108" w:type="dxa"/>
          </w:tblCellMar>
        </w:tblPrEx>
        <w:trPr>
          <w:trHeight w:val="1295" w:hRule="atLeast"/>
          <w:jc w:val="center"/>
        </w:trPr>
        <w:tc>
          <w:tcPr>
            <w:tcW w:w="842" w:type="dxa"/>
            <w:tcBorders>
              <w:top w:val="nil"/>
              <w:left w:val="single" w:color="auto" w:sz="4" w:space="0"/>
              <w:bottom w:val="single" w:color="auto" w:sz="4" w:space="0"/>
              <w:right w:val="single" w:color="auto" w:sz="4" w:space="0"/>
            </w:tcBorders>
            <w:noWrap/>
            <w:vAlign w:val="center"/>
          </w:tcPr>
          <w:p w14:paraId="31B7CB6F">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3</w:t>
            </w:r>
          </w:p>
        </w:tc>
        <w:tc>
          <w:tcPr>
            <w:tcW w:w="6095" w:type="dxa"/>
            <w:tcBorders>
              <w:top w:val="nil"/>
              <w:left w:val="nil"/>
              <w:bottom w:val="single" w:color="auto" w:sz="4" w:space="0"/>
              <w:right w:val="single" w:color="auto" w:sz="4" w:space="0"/>
            </w:tcBorders>
            <w:vAlign w:val="center"/>
          </w:tcPr>
          <w:p w14:paraId="7F1BCB7A">
            <w:pPr>
              <w:widowControl/>
              <w:jc w:val="left"/>
              <w:rPr>
                <w:rFonts w:ascii="仿宋" w:hAnsi="仿宋" w:eastAsia="仿宋" w:cs="宋体"/>
                <w:color w:val="000000"/>
                <w:kern w:val="0"/>
                <w:sz w:val="28"/>
                <w:szCs w:val="28"/>
                <w:highlight w:val="none"/>
              </w:rPr>
            </w:pPr>
            <w:r>
              <w:rPr>
                <w:rFonts w:hint="eastAsia" w:ascii="仿宋" w:hAnsi="仿宋" w:eastAsia="仿宋" w:cs="宋体"/>
                <w:color w:val="000000"/>
                <w:kern w:val="0"/>
                <w:sz w:val="28"/>
                <w:szCs w:val="28"/>
                <w:highlight w:val="none"/>
              </w:rPr>
              <w:t>劳务派遣公司每月认真学习相关食品安全知识，自觉接受上级职能部门对食品卫生的监督</w:t>
            </w:r>
          </w:p>
        </w:tc>
        <w:tc>
          <w:tcPr>
            <w:tcW w:w="992" w:type="dxa"/>
            <w:tcBorders>
              <w:top w:val="nil"/>
              <w:left w:val="nil"/>
              <w:bottom w:val="single" w:color="auto" w:sz="4" w:space="0"/>
              <w:right w:val="single" w:color="auto" w:sz="4" w:space="0"/>
            </w:tcBorders>
            <w:noWrap/>
            <w:vAlign w:val="center"/>
          </w:tcPr>
          <w:p w14:paraId="3580D5D9">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10</w:t>
            </w:r>
          </w:p>
        </w:tc>
        <w:tc>
          <w:tcPr>
            <w:tcW w:w="1269" w:type="dxa"/>
            <w:tcBorders>
              <w:top w:val="nil"/>
              <w:left w:val="nil"/>
              <w:bottom w:val="single" w:color="auto" w:sz="4" w:space="0"/>
              <w:right w:val="single" w:color="auto" w:sz="4" w:space="0"/>
            </w:tcBorders>
            <w:noWrap/>
            <w:vAlign w:val="center"/>
          </w:tcPr>
          <w:p w14:paraId="5E854AAA">
            <w:pPr>
              <w:widowControl/>
              <w:jc w:val="left"/>
              <w:rPr>
                <w:rFonts w:ascii="宋体" w:cs="宋体"/>
                <w:color w:val="000000"/>
                <w:kern w:val="0"/>
                <w:sz w:val="28"/>
                <w:szCs w:val="28"/>
                <w:highlight w:val="none"/>
              </w:rPr>
            </w:pPr>
            <w:r>
              <w:rPr>
                <w:rFonts w:hint="eastAsia" w:ascii="宋体" w:hAnsi="宋体" w:cs="宋体"/>
                <w:color w:val="000000"/>
                <w:kern w:val="0"/>
                <w:sz w:val="28"/>
                <w:szCs w:val="28"/>
                <w:highlight w:val="none"/>
              </w:rPr>
              <w:t>　</w:t>
            </w:r>
          </w:p>
        </w:tc>
      </w:tr>
      <w:tr w14:paraId="2F331835">
        <w:tblPrEx>
          <w:tblCellMar>
            <w:top w:w="0" w:type="dxa"/>
            <w:left w:w="108" w:type="dxa"/>
            <w:bottom w:w="0" w:type="dxa"/>
            <w:right w:w="108" w:type="dxa"/>
          </w:tblCellMar>
        </w:tblPrEx>
        <w:trPr>
          <w:trHeight w:val="1980" w:hRule="atLeast"/>
          <w:jc w:val="center"/>
        </w:trPr>
        <w:tc>
          <w:tcPr>
            <w:tcW w:w="842" w:type="dxa"/>
            <w:tcBorders>
              <w:top w:val="nil"/>
              <w:left w:val="single" w:color="auto" w:sz="4" w:space="0"/>
              <w:bottom w:val="single" w:color="auto" w:sz="4" w:space="0"/>
              <w:right w:val="single" w:color="auto" w:sz="4" w:space="0"/>
            </w:tcBorders>
            <w:noWrap/>
            <w:vAlign w:val="center"/>
          </w:tcPr>
          <w:p w14:paraId="6D8BFEB1">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4</w:t>
            </w:r>
          </w:p>
        </w:tc>
        <w:tc>
          <w:tcPr>
            <w:tcW w:w="6095" w:type="dxa"/>
            <w:tcBorders>
              <w:top w:val="nil"/>
              <w:left w:val="nil"/>
              <w:bottom w:val="single" w:color="auto" w:sz="4" w:space="0"/>
              <w:right w:val="single" w:color="auto" w:sz="4" w:space="0"/>
            </w:tcBorders>
            <w:vAlign w:val="center"/>
          </w:tcPr>
          <w:p w14:paraId="1432E4DE">
            <w:pPr>
              <w:widowControl/>
              <w:jc w:val="left"/>
              <w:rPr>
                <w:rFonts w:ascii="仿宋" w:hAnsi="仿宋" w:eastAsia="仿宋" w:cs="宋体"/>
                <w:color w:val="000000"/>
                <w:kern w:val="0"/>
                <w:sz w:val="28"/>
                <w:szCs w:val="28"/>
                <w:highlight w:val="none"/>
              </w:rPr>
            </w:pPr>
            <w:r>
              <w:rPr>
                <w:rFonts w:hint="eastAsia" w:ascii="仿宋" w:hAnsi="仿宋" w:eastAsia="仿宋" w:cs="宋体"/>
                <w:color w:val="000000"/>
                <w:kern w:val="0"/>
                <w:sz w:val="28"/>
                <w:szCs w:val="28"/>
                <w:highlight w:val="none"/>
              </w:rPr>
              <w:t>劳务派遣公司负责做好防火、防盗和防止食物中毒等安全工作，因管理不当或人为造成损失和安全事故的，乙方按价赔偿和承担全部责任</w:t>
            </w:r>
          </w:p>
        </w:tc>
        <w:tc>
          <w:tcPr>
            <w:tcW w:w="992" w:type="dxa"/>
            <w:tcBorders>
              <w:top w:val="nil"/>
              <w:left w:val="nil"/>
              <w:bottom w:val="single" w:color="auto" w:sz="4" w:space="0"/>
              <w:right w:val="single" w:color="auto" w:sz="4" w:space="0"/>
            </w:tcBorders>
            <w:noWrap/>
            <w:vAlign w:val="center"/>
          </w:tcPr>
          <w:p w14:paraId="1549C055">
            <w:pPr>
              <w:widowControl/>
              <w:jc w:val="center"/>
              <w:rPr>
                <w:rFonts w:ascii="宋体" w:hAnsi="宋体" w:cs="宋体"/>
                <w:color w:val="000000"/>
                <w:kern w:val="0"/>
                <w:sz w:val="28"/>
                <w:szCs w:val="28"/>
                <w:highlight w:val="none"/>
              </w:rPr>
            </w:pPr>
            <w:r>
              <w:rPr>
                <w:rFonts w:ascii="宋体" w:hAnsi="宋体" w:cs="宋体"/>
                <w:color w:val="000000"/>
                <w:kern w:val="0"/>
                <w:sz w:val="28"/>
                <w:szCs w:val="28"/>
                <w:highlight w:val="none"/>
              </w:rPr>
              <w:t>15</w:t>
            </w:r>
          </w:p>
        </w:tc>
        <w:tc>
          <w:tcPr>
            <w:tcW w:w="1269" w:type="dxa"/>
            <w:tcBorders>
              <w:top w:val="nil"/>
              <w:left w:val="nil"/>
              <w:bottom w:val="single" w:color="auto" w:sz="4" w:space="0"/>
              <w:right w:val="single" w:color="auto" w:sz="4" w:space="0"/>
            </w:tcBorders>
            <w:noWrap/>
            <w:vAlign w:val="center"/>
          </w:tcPr>
          <w:p w14:paraId="7FBC1A60">
            <w:pPr>
              <w:widowControl/>
              <w:jc w:val="left"/>
              <w:rPr>
                <w:rFonts w:ascii="宋体" w:cs="宋体"/>
                <w:color w:val="000000"/>
                <w:kern w:val="0"/>
                <w:sz w:val="28"/>
                <w:szCs w:val="28"/>
                <w:highlight w:val="none"/>
              </w:rPr>
            </w:pPr>
            <w:r>
              <w:rPr>
                <w:rFonts w:hint="eastAsia" w:ascii="宋体" w:hAnsi="宋体" w:cs="宋体"/>
                <w:color w:val="000000"/>
                <w:kern w:val="0"/>
                <w:sz w:val="28"/>
                <w:szCs w:val="28"/>
                <w:highlight w:val="none"/>
              </w:rPr>
              <w:t>　</w:t>
            </w:r>
          </w:p>
        </w:tc>
      </w:tr>
      <w:tr w14:paraId="01BE7E36">
        <w:tblPrEx>
          <w:tblCellMar>
            <w:top w:w="0" w:type="dxa"/>
            <w:left w:w="108" w:type="dxa"/>
            <w:bottom w:w="0" w:type="dxa"/>
            <w:right w:w="108" w:type="dxa"/>
          </w:tblCellMar>
        </w:tblPrEx>
        <w:trPr>
          <w:trHeight w:val="3397" w:hRule="atLeast"/>
          <w:jc w:val="center"/>
        </w:trPr>
        <w:tc>
          <w:tcPr>
            <w:tcW w:w="842" w:type="dxa"/>
            <w:tcBorders>
              <w:top w:val="nil"/>
              <w:left w:val="single" w:color="auto" w:sz="4" w:space="0"/>
              <w:bottom w:val="single" w:color="auto" w:sz="4" w:space="0"/>
              <w:right w:val="single" w:color="auto" w:sz="4" w:space="0"/>
            </w:tcBorders>
            <w:noWrap/>
            <w:vAlign w:val="center"/>
          </w:tcPr>
          <w:p w14:paraId="189B8D36">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5</w:t>
            </w:r>
          </w:p>
        </w:tc>
        <w:tc>
          <w:tcPr>
            <w:tcW w:w="6095" w:type="dxa"/>
            <w:tcBorders>
              <w:top w:val="nil"/>
              <w:left w:val="nil"/>
              <w:bottom w:val="single" w:color="auto" w:sz="4" w:space="0"/>
              <w:right w:val="single" w:color="auto" w:sz="4" w:space="0"/>
            </w:tcBorders>
            <w:vAlign w:val="center"/>
          </w:tcPr>
          <w:p w14:paraId="75260DAB">
            <w:pPr>
              <w:widowControl/>
              <w:jc w:val="left"/>
              <w:rPr>
                <w:rFonts w:ascii="仿宋" w:hAnsi="仿宋" w:eastAsia="仿宋" w:cs="宋体"/>
                <w:color w:val="000000"/>
                <w:kern w:val="0"/>
                <w:sz w:val="28"/>
                <w:szCs w:val="28"/>
                <w:highlight w:val="none"/>
              </w:rPr>
            </w:pPr>
            <w:r>
              <w:rPr>
                <w:rFonts w:hint="eastAsia" w:ascii="仿宋" w:hAnsi="仿宋" w:eastAsia="仿宋" w:cs="宋体"/>
                <w:color w:val="000000"/>
                <w:kern w:val="0"/>
                <w:sz w:val="28"/>
                <w:szCs w:val="28"/>
                <w:highlight w:val="none"/>
              </w:rPr>
              <w:t>科学合理的制订周食谱及食材配送计划，每周五交由甲方审核并报备食安办审批。在饭菜的供应上，按甲方要求（包含休息日）依据学校相关管理办法供应方式保证早、中、晚三餐供应，在制作上做到“卫生、可口、营养均衡”。</w:t>
            </w:r>
            <w:r>
              <w:rPr>
                <w:rFonts w:ascii="仿宋" w:hAnsi="仿宋" w:eastAsia="仿宋" w:cs="宋体"/>
                <w:color w:val="000000"/>
                <w:kern w:val="0"/>
                <w:sz w:val="28"/>
                <w:szCs w:val="28"/>
                <w:highlight w:val="none"/>
              </w:rPr>
              <w:t xml:space="preserve"> </w:t>
            </w:r>
          </w:p>
        </w:tc>
        <w:tc>
          <w:tcPr>
            <w:tcW w:w="992" w:type="dxa"/>
            <w:tcBorders>
              <w:top w:val="nil"/>
              <w:left w:val="nil"/>
              <w:bottom w:val="single" w:color="auto" w:sz="4" w:space="0"/>
              <w:right w:val="single" w:color="auto" w:sz="4" w:space="0"/>
            </w:tcBorders>
            <w:noWrap/>
            <w:vAlign w:val="center"/>
          </w:tcPr>
          <w:p w14:paraId="568AC588">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20</w:t>
            </w:r>
          </w:p>
        </w:tc>
        <w:tc>
          <w:tcPr>
            <w:tcW w:w="1269" w:type="dxa"/>
            <w:tcBorders>
              <w:top w:val="nil"/>
              <w:left w:val="nil"/>
              <w:bottom w:val="single" w:color="auto" w:sz="4" w:space="0"/>
              <w:right w:val="single" w:color="auto" w:sz="4" w:space="0"/>
            </w:tcBorders>
            <w:noWrap/>
            <w:vAlign w:val="center"/>
          </w:tcPr>
          <w:p w14:paraId="689B707C">
            <w:pPr>
              <w:widowControl/>
              <w:jc w:val="left"/>
              <w:rPr>
                <w:rFonts w:ascii="宋体" w:cs="宋体"/>
                <w:color w:val="000000"/>
                <w:kern w:val="0"/>
                <w:sz w:val="28"/>
                <w:szCs w:val="28"/>
                <w:highlight w:val="none"/>
              </w:rPr>
            </w:pPr>
            <w:r>
              <w:rPr>
                <w:rFonts w:hint="eastAsia" w:ascii="宋体" w:hAnsi="宋体" w:cs="宋体"/>
                <w:color w:val="000000"/>
                <w:kern w:val="0"/>
                <w:sz w:val="28"/>
                <w:szCs w:val="28"/>
                <w:highlight w:val="none"/>
              </w:rPr>
              <w:t>　</w:t>
            </w:r>
          </w:p>
        </w:tc>
      </w:tr>
      <w:tr w14:paraId="16E7B49C">
        <w:tblPrEx>
          <w:tblCellMar>
            <w:top w:w="0" w:type="dxa"/>
            <w:left w:w="108" w:type="dxa"/>
            <w:bottom w:w="0" w:type="dxa"/>
            <w:right w:w="108" w:type="dxa"/>
          </w:tblCellMar>
        </w:tblPrEx>
        <w:trPr>
          <w:trHeight w:val="1440" w:hRule="atLeast"/>
          <w:jc w:val="center"/>
        </w:trPr>
        <w:tc>
          <w:tcPr>
            <w:tcW w:w="842" w:type="dxa"/>
            <w:tcBorders>
              <w:top w:val="nil"/>
              <w:left w:val="single" w:color="auto" w:sz="4" w:space="0"/>
              <w:bottom w:val="single" w:color="auto" w:sz="4" w:space="0"/>
              <w:right w:val="single" w:color="auto" w:sz="4" w:space="0"/>
            </w:tcBorders>
            <w:noWrap/>
            <w:vAlign w:val="center"/>
          </w:tcPr>
          <w:p w14:paraId="080D7AE5">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6</w:t>
            </w:r>
          </w:p>
        </w:tc>
        <w:tc>
          <w:tcPr>
            <w:tcW w:w="6095" w:type="dxa"/>
            <w:tcBorders>
              <w:top w:val="nil"/>
              <w:left w:val="nil"/>
              <w:bottom w:val="single" w:color="auto" w:sz="4" w:space="0"/>
              <w:right w:val="single" w:color="auto" w:sz="4" w:space="0"/>
            </w:tcBorders>
            <w:vAlign w:val="center"/>
          </w:tcPr>
          <w:p w14:paraId="657CFC82">
            <w:pPr>
              <w:widowControl/>
              <w:jc w:val="left"/>
              <w:rPr>
                <w:rFonts w:ascii="仿宋" w:hAnsi="仿宋" w:eastAsia="仿宋" w:cs="宋体"/>
                <w:color w:val="000000"/>
                <w:kern w:val="0"/>
                <w:sz w:val="28"/>
                <w:szCs w:val="28"/>
                <w:highlight w:val="none"/>
              </w:rPr>
            </w:pPr>
            <w:r>
              <w:rPr>
                <w:rFonts w:hint="eastAsia" w:ascii="仿宋" w:hAnsi="仿宋" w:eastAsia="仿宋" w:cs="宋体"/>
                <w:color w:val="000000"/>
                <w:kern w:val="0"/>
                <w:sz w:val="28"/>
                <w:szCs w:val="28"/>
                <w:highlight w:val="none"/>
              </w:rPr>
              <w:t>对食堂所用米面、猪肉、食油等食材依照教育局相关制度</w:t>
            </w:r>
            <w:r>
              <w:rPr>
                <w:rFonts w:ascii="仿宋" w:hAnsi="仿宋" w:eastAsia="仿宋" w:cs="宋体"/>
                <w:color w:val="000000"/>
                <w:kern w:val="0"/>
                <w:sz w:val="28"/>
                <w:szCs w:val="28"/>
                <w:highlight w:val="none"/>
              </w:rPr>
              <w:t>100%</w:t>
            </w:r>
            <w:r>
              <w:rPr>
                <w:rFonts w:hint="eastAsia" w:ascii="仿宋" w:hAnsi="仿宋" w:eastAsia="仿宋" w:cs="宋体"/>
                <w:color w:val="000000"/>
                <w:kern w:val="0"/>
                <w:sz w:val="28"/>
                <w:szCs w:val="28"/>
                <w:highlight w:val="none"/>
              </w:rPr>
              <w:t>由配送公司依周食材计划配送。乙方不得私自采购食材。确保食材安全。</w:t>
            </w:r>
          </w:p>
        </w:tc>
        <w:tc>
          <w:tcPr>
            <w:tcW w:w="992" w:type="dxa"/>
            <w:tcBorders>
              <w:top w:val="nil"/>
              <w:left w:val="nil"/>
              <w:bottom w:val="single" w:color="auto" w:sz="4" w:space="0"/>
              <w:right w:val="single" w:color="auto" w:sz="4" w:space="0"/>
            </w:tcBorders>
            <w:noWrap/>
            <w:vAlign w:val="center"/>
          </w:tcPr>
          <w:p w14:paraId="199EFB03">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20</w:t>
            </w:r>
          </w:p>
        </w:tc>
        <w:tc>
          <w:tcPr>
            <w:tcW w:w="1269" w:type="dxa"/>
            <w:tcBorders>
              <w:top w:val="nil"/>
              <w:left w:val="nil"/>
              <w:bottom w:val="single" w:color="auto" w:sz="4" w:space="0"/>
              <w:right w:val="single" w:color="auto" w:sz="4" w:space="0"/>
            </w:tcBorders>
            <w:noWrap/>
            <w:vAlign w:val="center"/>
          </w:tcPr>
          <w:p w14:paraId="28E98FFB">
            <w:pPr>
              <w:widowControl/>
              <w:jc w:val="left"/>
              <w:rPr>
                <w:rFonts w:ascii="宋体" w:cs="宋体"/>
                <w:color w:val="000000"/>
                <w:kern w:val="0"/>
                <w:sz w:val="28"/>
                <w:szCs w:val="28"/>
                <w:highlight w:val="none"/>
              </w:rPr>
            </w:pPr>
            <w:r>
              <w:rPr>
                <w:rFonts w:hint="eastAsia" w:ascii="宋体" w:hAnsi="宋体" w:cs="宋体"/>
                <w:color w:val="000000"/>
                <w:kern w:val="0"/>
                <w:sz w:val="28"/>
                <w:szCs w:val="28"/>
                <w:highlight w:val="none"/>
              </w:rPr>
              <w:t>　</w:t>
            </w:r>
          </w:p>
        </w:tc>
      </w:tr>
      <w:tr w14:paraId="4E230D24">
        <w:tblPrEx>
          <w:tblCellMar>
            <w:top w:w="0" w:type="dxa"/>
            <w:left w:w="108" w:type="dxa"/>
            <w:bottom w:w="0" w:type="dxa"/>
            <w:right w:w="108" w:type="dxa"/>
          </w:tblCellMar>
        </w:tblPrEx>
        <w:trPr>
          <w:trHeight w:val="1691" w:hRule="atLeast"/>
          <w:jc w:val="center"/>
        </w:trPr>
        <w:tc>
          <w:tcPr>
            <w:tcW w:w="842" w:type="dxa"/>
            <w:tcBorders>
              <w:top w:val="single" w:color="auto" w:sz="4" w:space="0"/>
              <w:left w:val="single" w:color="auto" w:sz="4" w:space="0"/>
              <w:bottom w:val="single" w:color="auto" w:sz="4" w:space="0"/>
              <w:right w:val="single" w:color="auto" w:sz="4" w:space="0"/>
            </w:tcBorders>
            <w:noWrap/>
            <w:vAlign w:val="center"/>
          </w:tcPr>
          <w:p w14:paraId="0C739648">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7</w:t>
            </w:r>
          </w:p>
        </w:tc>
        <w:tc>
          <w:tcPr>
            <w:tcW w:w="6095" w:type="dxa"/>
            <w:tcBorders>
              <w:top w:val="single" w:color="auto" w:sz="4" w:space="0"/>
              <w:left w:val="nil"/>
              <w:bottom w:val="single" w:color="auto" w:sz="4" w:space="0"/>
              <w:right w:val="single" w:color="auto" w:sz="4" w:space="0"/>
            </w:tcBorders>
            <w:vAlign w:val="center"/>
          </w:tcPr>
          <w:p w14:paraId="3026B9C9">
            <w:pPr>
              <w:widowControl/>
              <w:jc w:val="left"/>
              <w:rPr>
                <w:rFonts w:ascii="仿宋" w:hAnsi="仿宋" w:eastAsia="仿宋" w:cs="宋体"/>
                <w:color w:val="000000"/>
                <w:kern w:val="0"/>
                <w:sz w:val="28"/>
                <w:szCs w:val="28"/>
                <w:highlight w:val="none"/>
              </w:rPr>
            </w:pPr>
            <w:r>
              <w:rPr>
                <w:rFonts w:hint="eastAsia" w:ascii="仿宋" w:hAnsi="仿宋" w:eastAsia="仿宋" w:cs="宋体"/>
                <w:color w:val="000000"/>
                <w:kern w:val="0"/>
                <w:sz w:val="28"/>
                <w:szCs w:val="28"/>
                <w:highlight w:val="none"/>
              </w:rPr>
              <w:t>适时对从业人员定期开展体检、持有健康证上岗，统一着装上岗，做到文明、礼貌、微笑服务。</w:t>
            </w:r>
          </w:p>
        </w:tc>
        <w:tc>
          <w:tcPr>
            <w:tcW w:w="992" w:type="dxa"/>
            <w:tcBorders>
              <w:top w:val="single" w:color="auto" w:sz="4" w:space="0"/>
              <w:left w:val="nil"/>
              <w:bottom w:val="single" w:color="auto" w:sz="4" w:space="0"/>
              <w:right w:val="single" w:color="auto" w:sz="4" w:space="0"/>
            </w:tcBorders>
            <w:noWrap/>
            <w:vAlign w:val="center"/>
          </w:tcPr>
          <w:p w14:paraId="33DC71CA">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5</w:t>
            </w:r>
          </w:p>
        </w:tc>
        <w:tc>
          <w:tcPr>
            <w:tcW w:w="1269" w:type="dxa"/>
            <w:tcBorders>
              <w:top w:val="single" w:color="auto" w:sz="4" w:space="0"/>
              <w:left w:val="nil"/>
              <w:bottom w:val="single" w:color="auto" w:sz="4" w:space="0"/>
              <w:right w:val="single" w:color="auto" w:sz="4" w:space="0"/>
            </w:tcBorders>
            <w:noWrap/>
            <w:vAlign w:val="center"/>
          </w:tcPr>
          <w:p w14:paraId="672D21C3">
            <w:pPr>
              <w:widowControl/>
              <w:jc w:val="left"/>
              <w:rPr>
                <w:rFonts w:ascii="宋体" w:cs="宋体"/>
                <w:color w:val="000000"/>
                <w:kern w:val="0"/>
                <w:sz w:val="28"/>
                <w:szCs w:val="28"/>
                <w:highlight w:val="none"/>
              </w:rPr>
            </w:pPr>
            <w:r>
              <w:rPr>
                <w:rFonts w:hint="eastAsia" w:ascii="宋体" w:hAnsi="宋体" w:cs="宋体"/>
                <w:color w:val="000000"/>
                <w:kern w:val="0"/>
                <w:sz w:val="28"/>
                <w:szCs w:val="28"/>
                <w:highlight w:val="none"/>
              </w:rPr>
              <w:t>　</w:t>
            </w:r>
          </w:p>
        </w:tc>
      </w:tr>
      <w:tr w14:paraId="60286A74">
        <w:tblPrEx>
          <w:tblCellMar>
            <w:top w:w="0" w:type="dxa"/>
            <w:left w:w="108" w:type="dxa"/>
            <w:bottom w:w="0" w:type="dxa"/>
            <w:right w:w="108" w:type="dxa"/>
          </w:tblCellMar>
        </w:tblPrEx>
        <w:trPr>
          <w:trHeight w:val="1802" w:hRule="atLeast"/>
          <w:jc w:val="center"/>
        </w:trPr>
        <w:tc>
          <w:tcPr>
            <w:tcW w:w="842" w:type="dxa"/>
            <w:tcBorders>
              <w:top w:val="nil"/>
              <w:left w:val="single" w:color="auto" w:sz="4" w:space="0"/>
              <w:bottom w:val="single" w:color="auto" w:sz="4" w:space="0"/>
              <w:right w:val="single" w:color="auto" w:sz="4" w:space="0"/>
            </w:tcBorders>
            <w:noWrap/>
            <w:vAlign w:val="center"/>
          </w:tcPr>
          <w:p w14:paraId="4A2466BF">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8</w:t>
            </w:r>
          </w:p>
        </w:tc>
        <w:tc>
          <w:tcPr>
            <w:tcW w:w="6095" w:type="dxa"/>
            <w:tcBorders>
              <w:top w:val="nil"/>
              <w:left w:val="nil"/>
              <w:bottom w:val="single" w:color="auto" w:sz="4" w:space="0"/>
              <w:right w:val="single" w:color="auto" w:sz="4" w:space="0"/>
            </w:tcBorders>
            <w:vAlign w:val="center"/>
          </w:tcPr>
          <w:p w14:paraId="32D32C1F">
            <w:pPr>
              <w:widowControl/>
              <w:jc w:val="left"/>
              <w:rPr>
                <w:rFonts w:ascii="仿宋" w:hAnsi="仿宋" w:eastAsia="仿宋" w:cs="宋体"/>
                <w:color w:val="000000"/>
                <w:kern w:val="0"/>
                <w:sz w:val="28"/>
                <w:szCs w:val="28"/>
                <w:highlight w:val="none"/>
              </w:rPr>
            </w:pPr>
            <w:r>
              <w:rPr>
                <w:rFonts w:hint="eastAsia" w:ascii="仿宋" w:hAnsi="仿宋" w:eastAsia="仿宋" w:cs="宋体"/>
                <w:color w:val="000000"/>
                <w:kern w:val="0"/>
                <w:sz w:val="28"/>
                <w:szCs w:val="28"/>
                <w:highlight w:val="none"/>
              </w:rPr>
              <w:t>乙方在管理食堂时，要严格遵照上级相关文件规定，保证饭菜质量，做好食品留样和各种相关记录。</w:t>
            </w:r>
          </w:p>
        </w:tc>
        <w:tc>
          <w:tcPr>
            <w:tcW w:w="992" w:type="dxa"/>
            <w:tcBorders>
              <w:top w:val="nil"/>
              <w:left w:val="nil"/>
              <w:bottom w:val="single" w:color="auto" w:sz="4" w:space="0"/>
              <w:right w:val="single" w:color="auto" w:sz="4" w:space="0"/>
            </w:tcBorders>
            <w:noWrap/>
            <w:vAlign w:val="center"/>
          </w:tcPr>
          <w:p w14:paraId="1D3F04B2">
            <w:pPr>
              <w:widowControl/>
              <w:jc w:val="center"/>
              <w:rPr>
                <w:rFonts w:ascii="宋体" w:cs="宋体"/>
                <w:color w:val="000000"/>
                <w:kern w:val="0"/>
                <w:sz w:val="24"/>
                <w:szCs w:val="28"/>
                <w:highlight w:val="none"/>
              </w:rPr>
            </w:pPr>
            <w:r>
              <w:rPr>
                <w:rFonts w:ascii="宋体" w:hAnsi="宋体" w:cs="宋体"/>
                <w:color w:val="000000"/>
                <w:kern w:val="0"/>
                <w:sz w:val="24"/>
                <w:szCs w:val="28"/>
                <w:highlight w:val="none"/>
              </w:rPr>
              <w:t>10</w:t>
            </w:r>
          </w:p>
        </w:tc>
        <w:tc>
          <w:tcPr>
            <w:tcW w:w="1269" w:type="dxa"/>
            <w:tcBorders>
              <w:top w:val="nil"/>
              <w:left w:val="nil"/>
              <w:bottom w:val="single" w:color="auto" w:sz="4" w:space="0"/>
              <w:right w:val="single" w:color="auto" w:sz="4" w:space="0"/>
            </w:tcBorders>
            <w:noWrap/>
            <w:vAlign w:val="center"/>
          </w:tcPr>
          <w:p w14:paraId="45120C4E">
            <w:pPr>
              <w:widowControl/>
              <w:jc w:val="left"/>
              <w:rPr>
                <w:rFonts w:ascii="宋体" w:cs="宋体"/>
                <w:color w:val="000000"/>
                <w:kern w:val="0"/>
                <w:sz w:val="28"/>
                <w:szCs w:val="28"/>
                <w:highlight w:val="none"/>
              </w:rPr>
            </w:pPr>
            <w:r>
              <w:rPr>
                <w:rFonts w:hint="eastAsia" w:ascii="宋体" w:hAnsi="宋体" w:cs="宋体"/>
                <w:color w:val="000000"/>
                <w:kern w:val="0"/>
                <w:sz w:val="28"/>
                <w:szCs w:val="28"/>
                <w:highlight w:val="none"/>
              </w:rPr>
              <w:t>　</w:t>
            </w:r>
          </w:p>
        </w:tc>
      </w:tr>
      <w:tr w14:paraId="420CE68D">
        <w:tblPrEx>
          <w:tblCellMar>
            <w:top w:w="0" w:type="dxa"/>
            <w:left w:w="108" w:type="dxa"/>
            <w:bottom w:w="0" w:type="dxa"/>
            <w:right w:w="108" w:type="dxa"/>
          </w:tblCellMar>
        </w:tblPrEx>
        <w:trPr>
          <w:trHeight w:val="780" w:hRule="atLeast"/>
          <w:jc w:val="center"/>
        </w:trPr>
        <w:tc>
          <w:tcPr>
            <w:tcW w:w="842" w:type="dxa"/>
            <w:tcBorders>
              <w:top w:val="nil"/>
              <w:left w:val="single" w:color="auto" w:sz="4" w:space="0"/>
              <w:bottom w:val="single" w:color="auto" w:sz="4" w:space="0"/>
              <w:right w:val="single" w:color="auto" w:sz="4" w:space="0"/>
            </w:tcBorders>
            <w:noWrap/>
            <w:vAlign w:val="center"/>
          </w:tcPr>
          <w:p w14:paraId="062B3B67">
            <w:pPr>
              <w:widowControl/>
              <w:jc w:val="left"/>
              <w:rPr>
                <w:rFonts w:ascii="宋体" w:cs="宋体"/>
                <w:color w:val="000000"/>
                <w:kern w:val="0"/>
                <w:sz w:val="28"/>
                <w:szCs w:val="28"/>
                <w:highlight w:val="none"/>
              </w:rPr>
            </w:pPr>
          </w:p>
        </w:tc>
        <w:tc>
          <w:tcPr>
            <w:tcW w:w="6095" w:type="dxa"/>
            <w:tcBorders>
              <w:top w:val="nil"/>
              <w:left w:val="nil"/>
              <w:bottom w:val="single" w:color="auto" w:sz="4" w:space="0"/>
              <w:right w:val="single" w:color="auto" w:sz="4" w:space="0"/>
            </w:tcBorders>
            <w:noWrap/>
            <w:vAlign w:val="center"/>
          </w:tcPr>
          <w:p w14:paraId="126E5683">
            <w:pPr>
              <w:widowControl/>
              <w:jc w:val="left"/>
              <w:rPr>
                <w:rFonts w:ascii="宋体" w:cs="宋体"/>
                <w:color w:val="000000"/>
                <w:kern w:val="0"/>
                <w:sz w:val="28"/>
                <w:szCs w:val="28"/>
                <w:highlight w:val="none"/>
              </w:rPr>
            </w:pPr>
            <w:r>
              <w:rPr>
                <w:rFonts w:hint="eastAsia" w:ascii="宋体" w:hAnsi="宋体" w:cs="宋体"/>
                <w:color w:val="000000"/>
                <w:kern w:val="0"/>
                <w:sz w:val="28"/>
                <w:szCs w:val="28"/>
                <w:highlight w:val="none"/>
              </w:rPr>
              <w:t>　</w:t>
            </w:r>
          </w:p>
        </w:tc>
        <w:tc>
          <w:tcPr>
            <w:tcW w:w="992" w:type="dxa"/>
            <w:tcBorders>
              <w:top w:val="nil"/>
              <w:left w:val="nil"/>
              <w:bottom w:val="single" w:color="auto" w:sz="4" w:space="0"/>
              <w:right w:val="single" w:color="auto" w:sz="4" w:space="0"/>
            </w:tcBorders>
            <w:noWrap/>
            <w:vAlign w:val="center"/>
          </w:tcPr>
          <w:p w14:paraId="27CE84C3">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100</w:t>
            </w:r>
          </w:p>
        </w:tc>
        <w:tc>
          <w:tcPr>
            <w:tcW w:w="1269" w:type="dxa"/>
            <w:tcBorders>
              <w:top w:val="nil"/>
              <w:left w:val="nil"/>
              <w:bottom w:val="single" w:color="auto" w:sz="4" w:space="0"/>
              <w:right w:val="single" w:color="auto" w:sz="4" w:space="0"/>
            </w:tcBorders>
            <w:noWrap/>
            <w:vAlign w:val="center"/>
          </w:tcPr>
          <w:p w14:paraId="2CAD7208">
            <w:pPr>
              <w:widowControl/>
              <w:jc w:val="left"/>
              <w:rPr>
                <w:rFonts w:ascii="宋体" w:cs="宋体"/>
                <w:color w:val="000000"/>
                <w:kern w:val="0"/>
                <w:sz w:val="28"/>
                <w:szCs w:val="28"/>
                <w:highlight w:val="none"/>
              </w:rPr>
            </w:pPr>
            <w:r>
              <w:rPr>
                <w:rFonts w:hint="eastAsia" w:ascii="宋体" w:hAnsi="宋体" w:cs="宋体"/>
                <w:color w:val="000000"/>
                <w:kern w:val="0"/>
                <w:sz w:val="28"/>
                <w:szCs w:val="28"/>
                <w:highlight w:val="none"/>
              </w:rPr>
              <w:t>　</w:t>
            </w:r>
          </w:p>
        </w:tc>
      </w:tr>
    </w:tbl>
    <w:p w14:paraId="72B331B6">
      <w:pPr>
        <w:spacing w:line="480" w:lineRule="auto"/>
        <w:rPr>
          <w:sz w:val="28"/>
          <w:szCs w:val="28"/>
          <w:highlight w:val="none"/>
        </w:rPr>
      </w:pPr>
    </w:p>
    <w:p w14:paraId="54E1CBE8">
      <w:pPr>
        <w:spacing w:line="480" w:lineRule="auto"/>
        <w:rPr>
          <w:sz w:val="28"/>
          <w:szCs w:val="28"/>
          <w:highlight w:val="none"/>
        </w:rPr>
      </w:pPr>
      <w:r>
        <w:rPr>
          <w:rFonts w:hint="eastAsia"/>
          <w:sz w:val="28"/>
          <w:szCs w:val="28"/>
          <w:highlight w:val="none"/>
        </w:rPr>
        <w:t>审核人员：</w:t>
      </w:r>
      <w:r>
        <w:rPr>
          <w:sz w:val="28"/>
          <w:szCs w:val="28"/>
          <w:highlight w:val="none"/>
        </w:rPr>
        <w:t xml:space="preserve">                    </w:t>
      </w:r>
      <w:r>
        <w:rPr>
          <w:rFonts w:hint="eastAsia"/>
          <w:sz w:val="28"/>
          <w:szCs w:val="28"/>
          <w:highlight w:val="none"/>
        </w:rPr>
        <w:t>时间：</w:t>
      </w:r>
    </w:p>
    <w:p w14:paraId="1CEBCEA2">
      <w:pPr>
        <w:rPr>
          <w:rFonts w:ascii="宋体" w:hAnsi="宋体" w:eastAsia="宋体" w:cs="宋体"/>
          <w:sz w:val="28"/>
          <w:szCs w:val="28"/>
          <w:highlight w:val="none"/>
        </w:rPr>
      </w:pPr>
      <w:bookmarkStart w:id="90" w:name="_Toc17199"/>
      <w:r>
        <w:rPr>
          <w:rFonts w:hint="eastAsia" w:ascii="宋体" w:hAnsi="宋体" w:eastAsia="宋体" w:cs="宋体"/>
          <w:sz w:val="28"/>
          <w:szCs w:val="28"/>
          <w:highlight w:val="none"/>
        </w:rPr>
        <w:br w:type="page"/>
      </w:r>
    </w:p>
    <w:p w14:paraId="0A2ACA16">
      <w:pPr>
        <w:pStyle w:val="2"/>
        <w:numPr>
          <w:ilvl w:val="0"/>
          <w:numId w:val="0"/>
        </w:numPr>
        <w:spacing w:before="0" w:after="0" w:line="560" w:lineRule="exact"/>
        <w:jc w:val="center"/>
        <w:outlineLvl w:val="0"/>
        <w:rPr>
          <w:rFonts w:ascii="宋体" w:hAnsi="宋体" w:eastAsia="宋体" w:cs="宋体"/>
          <w:b/>
          <w:bCs/>
          <w:sz w:val="30"/>
          <w:szCs w:val="30"/>
          <w:highlight w:val="none"/>
        </w:rPr>
      </w:pPr>
      <w:bookmarkStart w:id="91" w:name="_Toc15847"/>
      <w:r>
        <w:rPr>
          <w:rFonts w:hint="eastAsia" w:ascii="宋体" w:hAnsi="宋体" w:eastAsia="宋体" w:cs="宋体"/>
          <w:b/>
          <w:bCs/>
          <w:kern w:val="2"/>
          <w:sz w:val="30"/>
          <w:szCs w:val="30"/>
          <w:highlight w:val="none"/>
          <w:lang w:val="en-US" w:eastAsia="zh-CN" w:bidi="ar-SA"/>
        </w:rPr>
        <w:t>三、</w:t>
      </w:r>
      <w:r>
        <w:rPr>
          <w:rFonts w:hint="eastAsia" w:ascii="宋体" w:hAnsi="宋体" w:eastAsia="宋体" w:cs="宋体"/>
          <w:b/>
          <w:bCs/>
          <w:sz w:val="30"/>
          <w:szCs w:val="30"/>
          <w:highlight w:val="none"/>
        </w:rPr>
        <w:t>采购需求</w:t>
      </w:r>
      <w:bookmarkEnd w:id="90"/>
      <w:bookmarkEnd w:id="91"/>
    </w:p>
    <w:bookmarkEnd w:id="89"/>
    <w:p w14:paraId="7408C0A3">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bCs/>
          <w:sz w:val="28"/>
          <w:szCs w:val="24"/>
          <w:highlight w:val="none"/>
        </w:rPr>
      </w:pPr>
      <w:bookmarkStart w:id="92" w:name="_Toc25911"/>
      <w:bookmarkStart w:id="93" w:name="_Toc21831"/>
      <w:bookmarkStart w:id="94" w:name="_Toc19815"/>
    </w:p>
    <w:p w14:paraId="69D99696">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bCs/>
          <w:sz w:val="28"/>
          <w:szCs w:val="24"/>
          <w:highlight w:val="none"/>
        </w:rPr>
      </w:pPr>
      <w:bookmarkStart w:id="95" w:name="_Toc22919"/>
      <w:r>
        <w:rPr>
          <w:rFonts w:hint="eastAsia" w:ascii="宋体" w:hAnsi="宋体" w:eastAsia="宋体" w:cs="宋体"/>
          <w:b/>
          <w:bCs/>
          <w:sz w:val="28"/>
          <w:szCs w:val="24"/>
          <w:highlight w:val="none"/>
        </w:rPr>
        <w:t>一、食堂劳务派遣模式</w:t>
      </w:r>
    </w:p>
    <w:p w14:paraId="19D406E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根据上级部门文件精神，结合我校实际，</w:t>
      </w:r>
      <w:r>
        <w:rPr>
          <w:rFonts w:hint="eastAsia" w:ascii="宋体" w:hAnsi="宋体" w:eastAsia="宋体" w:cs="宋体"/>
          <w:sz w:val="28"/>
          <w:szCs w:val="24"/>
          <w:highlight w:val="none"/>
          <w:lang w:val="en-US" w:eastAsia="zh-CN"/>
        </w:rPr>
        <w:t>霍山县城关小学</w:t>
      </w:r>
      <w:r>
        <w:rPr>
          <w:rFonts w:hint="eastAsia" w:ascii="宋体" w:hAnsi="宋体" w:eastAsia="宋体" w:cs="宋体"/>
          <w:sz w:val="28"/>
          <w:szCs w:val="24"/>
          <w:highlight w:val="none"/>
        </w:rPr>
        <w:t>食堂实行劳务派遣模式，由劳务派遣公司负责专业管理，为学校师生员工提供优质的膳食服务。</w:t>
      </w:r>
    </w:p>
    <w:p w14:paraId="5BDF8B10">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sz w:val="28"/>
          <w:szCs w:val="24"/>
          <w:highlight w:val="none"/>
        </w:rPr>
      </w:pPr>
      <w:bookmarkStart w:id="96" w:name="_Toc13360"/>
      <w:r>
        <w:rPr>
          <w:rFonts w:hint="eastAsia" w:ascii="宋体" w:hAnsi="宋体" w:eastAsia="宋体" w:cs="宋体"/>
          <w:b/>
          <w:bCs/>
          <w:sz w:val="28"/>
          <w:szCs w:val="24"/>
          <w:highlight w:val="none"/>
        </w:rPr>
        <w:t>二、学校食堂具体劳务派遣方案及要求</w:t>
      </w:r>
      <w:bookmarkEnd w:id="96"/>
    </w:p>
    <w:p w14:paraId="254C69C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1、食堂食材执行教育局的相关配送政策。（具体政策参照霍教【2019】68 号等文件）</w:t>
      </w:r>
    </w:p>
    <w:p w14:paraId="797B26A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2、劳务派遣费包含：劳务派遣管理费、利润、派遣人员工资、加班工资、防暑降温费、派遣人员的保险、社保、税金等相关费用。</w:t>
      </w:r>
    </w:p>
    <w:p w14:paraId="005184A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3、学校与餐饮服务公司合同采用1+1+1的模式签订合同。学校每学期对食堂饭菜质量、服务质量及卫生安全测评实行权重打分制。具体测评措施如下：学校学期结束后组织考核打分，分制为100分。测评平均分低于60分的无条件退出，学校有权随时终止劳务派遣协议。</w:t>
      </w:r>
    </w:p>
    <w:p w14:paraId="576F6DD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4、食堂水、电、气等费用纳入食堂成本核算</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lang w:val="en-US" w:eastAsia="zh-CN"/>
        </w:rPr>
        <w:t>包含在不超营业额</w:t>
      </w:r>
      <w:r>
        <w:rPr>
          <w:rFonts w:hint="eastAsia" w:ascii="宋体" w:hAnsi="宋体" w:cs="宋体"/>
          <w:sz w:val="28"/>
          <w:szCs w:val="24"/>
          <w:highlight w:val="none"/>
          <w:lang w:val="en-US" w:eastAsia="zh-CN"/>
        </w:rPr>
        <w:t>10</w:t>
      </w:r>
      <w:r>
        <w:rPr>
          <w:rFonts w:hint="eastAsia" w:ascii="宋体" w:hAnsi="宋体" w:eastAsia="宋体" w:cs="宋体"/>
          <w:sz w:val="28"/>
          <w:szCs w:val="24"/>
          <w:highlight w:val="none"/>
          <w:lang w:val="en-US" w:eastAsia="zh-CN"/>
        </w:rPr>
        <w:t>%内</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rPr>
        <w:t>，由学校按月支付。</w:t>
      </w:r>
    </w:p>
    <w:p w14:paraId="6301154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5、成交人必须保护好食堂所有财产，对招标人提供的设备、设施应及时进行保养、维护，延长其使用年限。成交人进场后如需添加其他设备、对设备、设施进行保养、维护的，由校方负责。劳务派遣公司退出经营后，保证房屋、设备、设施、墙面、地面的完好，若有损坏、遗失，成交人必须承担由此产生的相关费用；劳务派遣公司自行采购的其他设备，成交人自行处理。</w:t>
      </w:r>
    </w:p>
    <w:p w14:paraId="1B4EF6F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6、食堂经营管理要按照“教育部等十五部门关于印发《农村义务教育学生营养改善计划实施细则》等五个配套文件的通知”、《学校食堂与学生集体用餐卫生管理规定》、《食品卫生法》等法律、法规及规定进行管理。</w:t>
      </w:r>
    </w:p>
    <w:p w14:paraId="6B2C99A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7、成交人不得将食堂私自转让或委托他人经营，更不能在校内搞不法经营。一经发现，招标方有权取消其经营资格，并视情况轻重扣除全额或部分履约保证金。</w:t>
      </w:r>
    </w:p>
    <w:p w14:paraId="629BBF6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8、餐厅、操作间等均属于成交人管理范围，成交人需负责承包区域内的卫生清扫和安全管理。工作人员要遵守餐饮法规以及校纪、校规，为师生提供热情周到服务，不得与师生发生争吵或冲突，如发现违规者，学校有权视情节提出处理意见。</w:t>
      </w:r>
    </w:p>
    <w:p w14:paraId="03012DB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9、所有工作人员需持有健康证上岗，卫生检疫、体检等费用均由成交人自理，食堂的卫生防疫、就餐环境必须达到卫生监督部门制订的标准，学校有权监督检查。</w:t>
      </w:r>
    </w:p>
    <w:p w14:paraId="40B859C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10</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rPr>
        <w:t>成交人劳务派遣服务所需用工必须符合《劳动合同法》要求，依法用工。如发生用工纠纷，由成交人自行承担责任。</w:t>
      </w:r>
    </w:p>
    <w:p w14:paraId="3EFE78F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11</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rPr>
        <w:t>食堂工作人员、从业人员要合理配置，服装要求统一。工作服（包括衣、帽、口罩）宜用白色或浅色布料制作，由</w:t>
      </w:r>
      <w:r>
        <w:rPr>
          <w:rFonts w:hint="eastAsia" w:ascii="宋体" w:hAnsi="宋体" w:cs="宋体"/>
          <w:sz w:val="28"/>
          <w:szCs w:val="24"/>
          <w:highlight w:val="none"/>
          <w:lang w:val="en-US" w:eastAsia="zh-CN"/>
        </w:rPr>
        <w:t>成交人</w:t>
      </w:r>
      <w:r>
        <w:rPr>
          <w:rFonts w:hint="eastAsia" w:ascii="宋体" w:hAnsi="宋体" w:eastAsia="宋体" w:cs="宋体"/>
          <w:sz w:val="28"/>
          <w:szCs w:val="24"/>
          <w:highlight w:val="none"/>
        </w:rPr>
        <w:t>负责购买。</w:t>
      </w:r>
    </w:p>
    <w:p w14:paraId="7984204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12</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rPr>
        <w:t>食堂消费全部刷卡，不得收取现金，违者罚款，如发现一次，罚款 500 元/次。</w:t>
      </w:r>
    </w:p>
    <w:p w14:paraId="1017BBE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13</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rPr>
        <w:t>保证</w:t>
      </w:r>
      <w:r>
        <w:rPr>
          <w:rFonts w:hint="eastAsia" w:ascii="宋体" w:hAnsi="宋体" w:eastAsia="宋体" w:cs="宋体"/>
          <w:sz w:val="28"/>
          <w:szCs w:val="24"/>
          <w:highlight w:val="none"/>
          <w:lang w:val="en-US" w:eastAsia="zh-CN"/>
        </w:rPr>
        <w:t>中</w:t>
      </w:r>
      <w:r>
        <w:rPr>
          <w:rFonts w:hint="eastAsia" w:ascii="宋体" w:hAnsi="宋体" w:eastAsia="宋体" w:cs="宋体"/>
          <w:sz w:val="28"/>
          <w:szCs w:val="24"/>
          <w:highlight w:val="none"/>
        </w:rPr>
        <w:t>餐准点开膳，保证饭菜足量、优质，要根据师生饮食特点、季节变化需求，制订有利学校师生员工健康的食谱。</w:t>
      </w:r>
    </w:p>
    <w:p w14:paraId="100D7DE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14</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rPr>
        <w:t>提供优质服务，优化品种结构，开展多层次餐饮服务，满足师生的需求，菜品为</w:t>
      </w:r>
      <w:r>
        <w:rPr>
          <w:rFonts w:hint="eastAsia" w:ascii="宋体" w:hAnsi="宋体" w:eastAsia="宋体" w:cs="宋体"/>
          <w:sz w:val="28"/>
          <w:szCs w:val="24"/>
          <w:highlight w:val="none"/>
          <w:lang w:val="en-US" w:eastAsia="zh-CN"/>
        </w:rPr>
        <w:t>2</w:t>
      </w:r>
      <w:r>
        <w:rPr>
          <w:rFonts w:hint="eastAsia" w:ascii="宋体" w:hAnsi="宋体" w:eastAsia="宋体" w:cs="宋体"/>
          <w:sz w:val="28"/>
          <w:szCs w:val="24"/>
          <w:highlight w:val="none"/>
        </w:rPr>
        <w:t>荤、2素，提供免费汤1种。</w:t>
      </w:r>
    </w:p>
    <w:p w14:paraId="7CB7284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15</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rPr>
        <w:t>需提供足量能保证学生需求的饭菜。不准出售变质、变味的饭菜和剩菜剩饭</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rPr>
        <w:t>出售10元套餐。不得出售价格虚高的辅食，不得出售对学生健康不利的垃圾食品，不得制作出售含有色素添加剂的饮料。以上各项每发现一次罚款 1000 元。</w:t>
      </w:r>
    </w:p>
    <w:p w14:paraId="4F976E6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16</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rPr>
        <w:t xml:space="preserve">对违反有关法律法规，造成重大食物中毒事故或安全事故，情节特别严重的，由上级行政机关或公安部门依法追究相关责任人的民事及刑事责任，并同时终止合同。 </w:t>
      </w:r>
    </w:p>
    <w:p w14:paraId="4F27626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17</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rPr>
        <w:t xml:space="preserve">对玩忽职守、疏于管理，造成学生食物中毒或者其他食源性疾患或重大安全事故的，视其情况予以扣除部分履约保证金作为事故处理费用，情节严重的将终止合同。 </w:t>
      </w:r>
    </w:p>
    <w:p w14:paraId="7C7DAA6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18</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rPr>
        <w:t>学校不定期地对食堂的经营服务质量进行检查评估，为确保饮食安全，学校有权对服务质量、饭菜价格等经营状况进行监督 和提出改善意见，对在检查中发现有违反规定的，及时发出整改意见书予以通告；对屡教不改者，学校有权终止合同。</w:t>
      </w:r>
    </w:p>
    <w:p w14:paraId="6CB3792A">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sz w:val="28"/>
          <w:szCs w:val="24"/>
          <w:highlight w:val="none"/>
        </w:rPr>
      </w:pPr>
      <w:bookmarkStart w:id="97" w:name="_Toc17855"/>
      <w:r>
        <w:rPr>
          <w:rFonts w:hint="eastAsia" w:ascii="宋体" w:hAnsi="宋体" w:eastAsia="宋体" w:cs="宋体"/>
          <w:b/>
          <w:bCs/>
          <w:sz w:val="28"/>
          <w:szCs w:val="24"/>
          <w:highlight w:val="none"/>
        </w:rPr>
        <w:t>三、</w:t>
      </w:r>
      <w:r>
        <w:rPr>
          <w:rFonts w:hint="eastAsia" w:ascii="宋体" w:hAnsi="宋体" w:cs="宋体"/>
          <w:b/>
          <w:bCs/>
          <w:sz w:val="28"/>
          <w:szCs w:val="24"/>
          <w:highlight w:val="none"/>
          <w:lang w:val="en-US" w:eastAsia="zh-CN"/>
        </w:rPr>
        <w:t>学校</w:t>
      </w:r>
      <w:r>
        <w:rPr>
          <w:rFonts w:hint="eastAsia" w:ascii="宋体" w:hAnsi="宋体" w:eastAsia="宋体" w:cs="宋体"/>
          <w:b/>
          <w:bCs/>
          <w:sz w:val="28"/>
          <w:szCs w:val="24"/>
          <w:highlight w:val="none"/>
        </w:rPr>
        <w:t>食堂实际用工及工资情况</w:t>
      </w:r>
      <w:bookmarkEnd w:id="97"/>
    </w:p>
    <w:p w14:paraId="0C3AF6F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lang w:val="en-US" w:eastAsia="zh-CN"/>
        </w:rPr>
        <w:t>霍山县城关小学统计</w:t>
      </w:r>
      <w:r>
        <w:rPr>
          <w:rFonts w:hint="eastAsia" w:ascii="宋体" w:hAnsi="宋体" w:eastAsia="宋体" w:cs="宋体"/>
          <w:sz w:val="28"/>
          <w:szCs w:val="24"/>
          <w:highlight w:val="none"/>
        </w:rPr>
        <w:t>2024年秋学期在校就餐师生</w:t>
      </w:r>
      <w:r>
        <w:rPr>
          <w:rFonts w:hint="eastAsia" w:ascii="宋体" w:hAnsi="宋体" w:eastAsia="宋体" w:cs="宋体"/>
          <w:sz w:val="28"/>
          <w:szCs w:val="24"/>
          <w:highlight w:val="none"/>
          <w:lang w:val="en-US" w:eastAsia="zh-CN"/>
        </w:rPr>
        <w:t>在800</w:t>
      </w:r>
      <w:r>
        <w:rPr>
          <w:rFonts w:hint="eastAsia" w:ascii="宋体" w:hAnsi="宋体" w:eastAsia="宋体" w:cs="宋体"/>
          <w:sz w:val="28"/>
          <w:szCs w:val="24"/>
          <w:highlight w:val="none"/>
        </w:rPr>
        <w:t>人左右，需用食堂员工为</w:t>
      </w:r>
      <w:r>
        <w:rPr>
          <w:rFonts w:hint="eastAsia" w:ascii="宋体" w:hAnsi="宋体" w:eastAsia="宋体" w:cs="宋体"/>
          <w:sz w:val="28"/>
          <w:szCs w:val="24"/>
          <w:highlight w:val="none"/>
          <w:lang w:val="en-US" w:eastAsia="zh-CN"/>
        </w:rPr>
        <w:t>11</w:t>
      </w:r>
      <w:r>
        <w:rPr>
          <w:rFonts w:hint="eastAsia" w:ascii="宋体" w:hAnsi="宋体" w:eastAsia="宋体" w:cs="宋体"/>
          <w:sz w:val="28"/>
          <w:szCs w:val="24"/>
          <w:highlight w:val="none"/>
        </w:rPr>
        <w:t>人，食堂员工与师生比约为1：</w:t>
      </w:r>
      <w:r>
        <w:rPr>
          <w:rFonts w:hint="eastAsia" w:ascii="宋体" w:hAnsi="宋体" w:eastAsia="宋体" w:cs="宋体"/>
          <w:sz w:val="28"/>
          <w:szCs w:val="24"/>
          <w:highlight w:val="none"/>
          <w:lang w:val="en-US" w:eastAsia="zh-CN"/>
        </w:rPr>
        <w:t>80</w:t>
      </w:r>
      <w:r>
        <w:rPr>
          <w:rFonts w:hint="eastAsia" w:ascii="宋体" w:hAnsi="宋体" w:eastAsia="宋体" w:cs="宋体"/>
          <w:sz w:val="28"/>
          <w:szCs w:val="24"/>
          <w:highlight w:val="none"/>
        </w:rPr>
        <w:t>，工资每月为</w:t>
      </w:r>
      <w:r>
        <w:rPr>
          <w:rFonts w:hint="eastAsia" w:ascii="宋体" w:hAnsi="宋体" w:eastAsia="宋体" w:cs="宋体"/>
          <w:sz w:val="28"/>
          <w:szCs w:val="24"/>
          <w:highlight w:val="none"/>
          <w:lang w:val="en-US" w:eastAsia="zh-CN"/>
        </w:rPr>
        <w:t>2.79</w:t>
      </w:r>
      <w:r>
        <w:rPr>
          <w:rFonts w:hint="eastAsia" w:ascii="宋体" w:hAnsi="宋体" w:eastAsia="宋体" w:cs="宋体"/>
          <w:sz w:val="28"/>
          <w:szCs w:val="24"/>
          <w:highlight w:val="none"/>
        </w:rPr>
        <w:t>万元，按每年10个月计算，全年工资为</w:t>
      </w:r>
      <w:r>
        <w:rPr>
          <w:rFonts w:hint="eastAsia" w:ascii="宋体" w:hAnsi="宋体" w:eastAsia="宋体" w:cs="宋体"/>
          <w:sz w:val="28"/>
          <w:szCs w:val="24"/>
          <w:highlight w:val="none"/>
          <w:lang w:val="en-US" w:eastAsia="zh-CN"/>
        </w:rPr>
        <w:t>27.9</w:t>
      </w:r>
      <w:r>
        <w:rPr>
          <w:rFonts w:hint="eastAsia" w:ascii="宋体" w:hAnsi="宋体" w:eastAsia="宋体" w:cs="宋体"/>
          <w:sz w:val="28"/>
          <w:szCs w:val="24"/>
          <w:highlight w:val="none"/>
        </w:rPr>
        <w:t>万元（如暑期托管因政策原因取消，将按每年9个月计算全年工资为</w:t>
      </w:r>
      <w:r>
        <w:rPr>
          <w:rFonts w:hint="eastAsia" w:ascii="宋体" w:hAnsi="宋体" w:eastAsia="宋体" w:cs="宋体"/>
          <w:sz w:val="28"/>
          <w:szCs w:val="24"/>
          <w:highlight w:val="none"/>
          <w:lang w:val="en-US" w:eastAsia="zh-CN"/>
        </w:rPr>
        <w:t>25.11</w:t>
      </w:r>
      <w:r>
        <w:rPr>
          <w:rFonts w:hint="eastAsia" w:ascii="宋体" w:hAnsi="宋体" w:eastAsia="宋体" w:cs="宋体"/>
          <w:sz w:val="28"/>
          <w:szCs w:val="24"/>
          <w:highlight w:val="none"/>
        </w:rPr>
        <w:t>万元）。</w:t>
      </w:r>
    </w:p>
    <w:p w14:paraId="320945DA">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sz w:val="28"/>
          <w:szCs w:val="24"/>
          <w:highlight w:val="none"/>
        </w:rPr>
      </w:pPr>
      <w:bookmarkStart w:id="98" w:name="_Toc10815"/>
      <w:r>
        <w:rPr>
          <w:rFonts w:hint="eastAsia" w:ascii="宋体" w:hAnsi="宋体" w:eastAsia="宋体" w:cs="宋体"/>
          <w:b/>
          <w:bCs/>
          <w:sz w:val="28"/>
          <w:szCs w:val="24"/>
          <w:highlight w:val="none"/>
        </w:rPr>
        <w:t>四、本部及东校区食堂劳务派遣公司费用</w:t>
      </w:r>
      <w:bookmarkEnd w:id="98"/>
    </w:p>
    <w:p w14:paraId="512C5B3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全年食堂的劳务派遣费为</w:t>
      </w:r>
      <w:r>
        <w:rPr>
          <w:rFonts w:hint="eastAsia" w:ascii="宋体" w:hAnsi="宋体" w:eastAsia="宋体" w:cs="宋体"/>
          <w:sz w:val="28"/>
          <w:szCs w:val="24"/>
          <w:highlight w:val="none"/>
          <w:lang w:val="en-US" w:eastAsia="zh-CN"/>
        </w:rPr>
        <w:t>35.2</w:t>
      </w:r>
      <w:r>
        <w:rPr>
          <w:rFonts w:hint="eastAsia" w:ascii="宋体" w:hAnsi="宋体" w:eastAsia="宋体" w:cs="宋体"/>
          <w:sz w:val="28"/>
          <w:szCs w:val="24"/>
          <w:highlight w:val="none"/>
        </w:rPr>
        <w:t>万元。（如暑期托管因政策取消，将按每年9个月计算为</w:t>
      </w:r>
      <w:r>
        <w:rPr>
          <w:rFonts w:hint="eastAsia" w:ascii="宋体" w:hAnsi="宋体" w:eastAsia="宋体" w:cs="宋体"/>
          <w:sz w:val="28"/>
          <w:szCs w:val="24"/>
          <w:highlight w:val="none"/>
          <w:lang w:val="en-US" w:eastAsia="zh-CN"/>
        </w:rPr>
        <w:t>31.68</w:t>
      </w:r>
      <w:r>
        <w:rPr>
          <w:rFonts w:hint="eastAsia" w:ascii="宋体" w:hAnsi="宋体" w:eastAsia="宋体" w:cs="宋体"/>
          <w:sz w:val="28"/>
          <w:szCs w:val="24"/>
          <w:highlight w:val="none"/>
        </w:rPr>
        <w:t>万元）。</w:t>
      </w:r>
    </w:p>
    <w:p w14:paraId="205576DB">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sz w:val="28"/>
          <w:szCs w:val="24"/>
          <w:highlight w:val="none"/>
        </w:rPr>
      </w:pPr>
      <w:bookmarkStart w:id="99" w:name="_Toc3553"/>
      <w:r>
        <w:rPr>
          <w:rFonts w:hint="eastAsia" w:ascii="宋体" w:hAnsi="宋体" w:eastAsia="宋体" w:cs="宋体"/>
          <w:b/>
          <w:bCs/>
          <w:sz w:val="28"/>
          <w:szCs w:val="24"/>
          <w:highlight w:val="none"/>
        </w:rPr>
        <w:t>五、招标事项的说明和要求</w:t>
      </w:r>
      <w:bookmarkEnd w:id="99"/>
    </w:p>
    <w:p w14:paraId="1DE7974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rPr>
        <w:t>1</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rPr>
        <w:t>最高限价：</w:t>
      </w:r>
      <w:r>
        <w:rPr>
          <w:rFonts w:hint="eastAsia" w:ascii="宋体" w:hAnsi="宋体" w:eastAsia="宋体" w:cs="宋体"/>
          <w:sz w:val="28"/>
          <w:szCs w:val="24"/>
          <w:highlight w:val="none"/>
          <w:lang w:val="en-US" w:eastAsia="zh-CN"/>
        </w:rPr>
        <w:t>35.2</w:t>
      </w:r>
      <w:r>
        <w:rPr>
          <w:rFonts w:hint="eastAsia" w:ascii="宋体" w:hAnsi="宋体" w:eastAsia="宋体" w:cs="宋体"/>
          <w:sz w:val="28"/>
          <w:szCs w:val="24"/>
          <w:highlight w:val="none"/>
        </w:rPr>
        <w:t>万元（</w:t>
      </w:r>
      <w:r>
        <w:rPr>
          <w:rFonts w:hint="eastAsia" w:ascii="宋体" w:hAnsi="宋体" w:eastAsia="宋体" w:cs="宋体"/>
          <w:sz w:val="28"/>
          <w:szCs w:val="24"/>
          <w:highlight w:val="none"/>
          <w:lang w:val="en-US" w:eastAsia="zh-CN"/>
        </w:rPr>
        <w:t>如果每学期就餐人数增加或减少未超过10%，按原合同要求不变，如果每学期就餐人数增加或减少</w:t>
      </w:r>
      <w:r>
        <w:rPr>
          <w:rFonts w:hint="eastAsia" w:ascii="宋体" w:hAnsi="宋体" w:cs="宋体"/>
          <w:sz w:val="28"/>
          <w:szCs w:val="24"/>
          <w:highlight w:val="none"/>
          <w:lang w:val="en-US" w:eastAsia="zh-CN"/>
        </w:rPr>
        <w:t>超过</w:t>
      </w:r>
      <w:r>
        <w:rPr>
          <w:rFonts w:hint="eastAsia" w:ascii="宋体" w:hAnsi="宋体" w:eastAsia="宋体" w:cs="宋体"/>
          <w:sz w:val="28"/>
          <w:szCs w:val="24"/>
          <w:highlight w:val="none"/>
          <w:lang w:val="en-US" w:eastAsia="zh-CN"/>
        </w:rPr>
        <w:t>10%，按营业额比例计算,并不超营业额</w:t>
      </w:r>
      <w:r>
        <w:rPr>
          <w:rFonts w:hint="eastAsia" w:ascii="宋体" w:hAnsi="宋体" w:cs="宋体"/>
          <w:sz w:val="28"/>
          <w:szCs w:val="24"/>
          <w:highlight w:val="none"/>
          <w:lang w:val="en-US" w:eastAsia="zh-CN"/>
        </w:rPr>
        <w:t>20</w:t>
      </w:r>
      <w:r>
        <w:rPr>
          <w:rFonts w:hint="eastAsia" w:ascii="宋体" w:hAnsi="宋体" w:eastAsia="宋体" w:cs="宋体"/>
          <w:sz w:val="28"/>
          <w:szCs w:val="24"/>
          <w:highlight w:val="none"/>
          <w:lang w:val="en-US" w:eastAsia="zh-CN"/>
        </w:rPr>
        <w:t>%</w:t>
      </w:r>
      <w:r>
        <w:rPr>
          <w:rFonts w:hint="eastAsia" w:ascii="宋体" w:hAnsi="宋体" w:eastAsia="宋体" w:cs="宋体"/>
          <w:sz w:val="28"/>
          <w:szCs w:val="24"/>
          <w:highlight w:val="none"/>
        </w:rPr>
        <w:t>）。</w:t>
      </w:r>
    </w:p>
    <w:p w14:paraId="0BFC874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lang w:val="en-US" w:eastAsia="zh-CN"/>
        </w:rPr>
        <w:t>2</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rPr>
        <w:t>投标报价为完成本次招标项目的全费用价格。费用组成包括但不限于劳务派遣管理费、利润、派遣人员工资、加班工资、食宿交通费</w:t>
      </w:r>
      <w:r>
        <w:rPr>
          <w:rFonts w:hint="eastAsia" w:ascii="宋体" w:hAnsi="宋体" w:cs="宋体"/>
          <w:sz w:val="28"/>
          <w:szCs w:val="24"/>
          <w:highlight w:val="none"/>
          <w:lang w:eastAsia="zh-CN"/>
        </w:rPr>
        <w:t>、</w:t>
      </w:r>
      <w:r>
        <w:rPr>
          <w:rFonts w:hint="eastAsia" w:ascii="宋体" w:hAnsi="宋体" w:eastAsia="宋体" w:cs="宋体"/>
          <w:sz w:val="28"/>
          <w:szCs w:val="24"/>
          <w:highlight w:val="none"/>
        </w:rPr>
        <w:t>防暑降温费、派遣人员的保险、社保、税金等相关费用、招标代理费等为完成本次招投标项目所发生的一切费用（注：所有费用均含税金）。</w:t>
      </w:r>
    </w:p>
    <w:p w14:paraId="3B2D559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lang w:val="en-US" w:eastAsia="zh-CN"/>
        </w:rPr>
        <w:t>3</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rPr>
        <w:t>投标方应考虑合同期内政策性费用调整的风险，履约期内不得以任何理由增加劳务派遣费用。如遇不可抗力或上级要求，放假时间超过10个日历天以上的（每月按30个日历天计算），校方不支付此时段的劳务派遣费。</w:t>
      </w:r>
    </w:p>
    <w:p w14:paraId="22DF105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lang w:val="en-US" w:eastAsia="zh-CN"/>
        </w:rPr>
        <w:t>4</w:t>
      </w:r>
      <w:r>
        <w:rPr>
          <w:rFonts w:hint="eastAsia" w:ascii="宋体" w:hAnsi="宋体" w:eastAsia="宋体" w:cs="宋体"/>
          <w:sz w:val="28"/>
          <w:szCs w:val="24"/>
          <w:highlight w:val="none"/>
          <w:lang w:eastAsia="zh-CN"/>
        </w:rPr>
        <w:t>、</w:t>
      </w:r>
      <w:r>
        <w:rPr>
          <w:rFonts w:hint="eastAsia" w:ascii="宋体" w:hAnsi="宋体" w:cs="宋体"/>
          <w:sz w:val="28"/>
          <w:szCs w:val="24"/>
          <w:highlight w:val="none"/>
          <w:lang w:eastAsia="zh-CN"/>
        </w:rPr>
        <w:t>成交人</w:t>
      </w:r>
      <w:r>
        <w:rPr>
          <w:rFonts w:hint="eastAsia" w:ascii="宋体" w:hAnsi="宋体" w:eastAsia="宋体" w:cs="宋体"/>
          <w:sz w:val="28"/>
          <w:szCs w:val="24"/>
          <w:highlight w:val="none"/>
        </w:rPr>
        <w:t>原则上不得增加或减少工人人数、工人工资，如特殊原因需要变动，必须经校方同意。如学校要求临时加班，由</w:t>
      </w:r>
      <w:r>
        <w:rPr>
          <w:rFonts w:hint="eastAsia" w:ascii="宋体" w:hAnsi="宋体" w:cs="宋体"/>
          <w:sz w:val="28"/>
          <w:szCs w:val="24"/>
          <w:highlight w:val="none"/>
          <w:lang w:eastAsia="zh-CN"/>
        </w:rPr>
        <w:t>成交人</w:t>
      </w:r>
      <w:r>
        <w:rPr>
          <w:rFonts w:hint="eastAsia" w:ascii="宋体" w:hAnsi="宋体" w:eastAsia="宋体" w:cs="宋体"/>
          <w:sz w:val="28"/>
          <w:szCs w:val="24"/>
          <w:highlight w:val="none"/>
        </w:rPr>
        <w:t>负责人员的安排调配，校方不再另外支付费用。</w:t>
      </w:r>
    </w:p>
    <w:p w14:paraId="3A9983A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lang w:val="en-US" w:eastAsia="zh-CN"/>
        </w:rPr>
        <w:t>5</w:t>
      </w:r>
      <w:r>
        <w:rPr>
          <w:rFonts w:hint="eastAsia" w:ascii="宋体" w:hAnsi="宋体" w:eastAsia="宋体" w:cs="宋体"/>
          <w:sz w:val="28"/>
          <w:szCs w:val="24"/>
          <w:highlight w:val="none"/>
          <w:lang w:eastAsia="zh-CN"/>
        </w:rPr>
        <w:t>、</w:t>
      </w:r>
      <w:r>
        <w:rPr>
          <w:rFonts w:hint="eastAsia" w:ascii="宋体" w:hAnsi="宋体" w:cs="宋体"/>
          <w:sz w:val="28"/>
          <w:szCs w:val="24"/>
          <w:highlight w:val="none"/>
          <w:lang w:eastAsia="zh-CN"/>
        </w:rPr>
        <w:t>成交人</w:t>
      </w:r>
      <w:r>
        <w:rPr>
          <w:rFonts w:hint="eastAsia" w:ascii="宋体" w:hAnsi="宋体" w:eastAsia="宋体" w:cs="宋体"/>
          <w:sz w:val="28"/>
          <w:szCs w:val="24"/>
          <w:highlight w:val="none"/>
        </w:rPr>
        <w:t>负责按规程正确操作使用烹饪设备、空调及通风系统、消防系统等设备，监控其运行状态，并做好日常简单维护工作，如操作中出现异常情况应及时报告校方并联系维保单位，以确保设备完好和正常运行。</w:t>
      </w:r>
    </w:p>
    <w:p w14:paraId="65F370E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lang w:val="en-US" w:eastAsia="zh-CN"/>
        </w:rPr>
        <w:t>6</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rPr>
        <w:t>在工作期间如发生伤亡事故等，由</w:t>
      </w:r>
      <w:r>
        <w:rPr>
          <w:rFonts w:hint="eastAsia" w:ascii="宋体" w:hAnsi="宋体" w:cs="宋体"/>
          <w:sz w:val="28"/>
          <w:szCs w:val="24"/>
          <w:highlight w:val="none"/>
          <w:lang w:eastAsia="zh-CN"/>
        </w:rPr>
        <w:t>成交人</w:t>
      </w:r>
      <w:r>
        <w:rPr>
          <w:rFonts w:hint="eastAsia" w:ascii="宋体" w:hAnsi="宋体" w:eastAsia="宋体" w:cs="宋体"/>
          <w:sz w:val="28"/>
          <w:szCs w:val="24"/>
          <w:highlight w:val="none"/>
        </w:rPr>
        <w:t>负责处理，并承担全部责任，与校方无关。</w:t>
      </w:r>
    </w:p>
    <w:p w14:paraId="3644B50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lang w:val="en-US" w:eastAsia="zh-CN"/>
        </w:rPr>
        <w:t>7</w:t>
      </w:r>
      <w:r>
        <w:rPr>
          <w:rFonts w:hint="eastAsia" w:ascii="宋体" w:hAnsi="宋体" w:eastAsia="宋体" w:cs="宋体"/>
          <w:sz w:val="28"/>
          <w:szCs w:val="24"/>
          <w:highlight w:val="none"/>
          <w:lang w:eastAsia="zh-CN"/>
        </w:rPr>
        <w:t>、</w:t>
      </w:r>
      <w:r>
        <w:rPr>
          <w:rFonts w:hint="eastAsia" w:ascii="宋体" w:hAnsi="宋体" w:cs="宋体"/>
          <w:sz w:val="28"/>
          <w:szCs w:val="24"/>
          <w:highlight w:val="none"/>
          <w:lang w:eastAsia="zh-CN"/>
        </w:rPr>
        <w:t>成交人</w:t>
      </w:r>
      <w:r>
        <w:rPr>
          <w:rFonts w:hint="eastAsia" w:ascii="宋体" w:hAnsi="宋体" w:eastAsia="宋体" w:cs="宋体"/>
          <w:sz w:val="28"/>
          <w:szCs w:val="24"/>
          <w:highlight w:val="none"/>
        </w:rPr>
        <w:t>负责学校食堂管理相关资料的准备，配合校方完成食材的验收、留样等相关工作，接受校方及上级部门的指导、监督、检查。</w:t>
      </w:r>
    </w:p>
    <w:p w14:paraId="26C9E96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lang w:val="en-US" w:eastAsia="zh-CN"/>
        </w:rPr>
        <w:t>8</w:t>
      </w:r>
      <w:r>
        <w:rPr>
          <w:rFonts w:hint="eastAsia" w:ascii="宋体" w:hAnsi="宋体" w:eastAsia="宋体" w:cs="宋体"/>
          <w:sz w:val="28"/>
          <w:szCs w:val="24"/>
          <w:highlight w:val="none"/>
          <w:lang w:eastAsia="zh-CN"/>
        </w:rPr>
        <w:t>、</w:t>
      </w:r>
      <w:r>
        <w:rPr>
          <w:rFonts w:hint="eastAsia" w:ascii="宋体" w:hAnsi="宋体" w:cs="宋体"/>
          <w:sz w:val="28"/>
          <w:szCs w:val="24"/>
          <w:highlight w:val="none"/>
          <w:lang w:eastAsia="zh-CN"/>
        </w:rPr>
        <w:t>成交人</w:t>
      </w:r>
      <w:r>
        <w:rPr>
          <w:rFonts w:hint="eastAsia" w:ascii="宋体" w:hAnsi="宋体" w:eastAsia="宋体" w:cs="宋体"/>
          <w:sz w:val="28"/>
          <w:szCs w:val="24"/>
          <w:highlight w:val="none"/>
        </w:rPr>
        <w:t>严格按照学校制定的周食谱进行供餐，不得随意变更食谱。</w:t>
      </w:r>
    </w:p>
    <w:p w14:paraId="106CCE5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lang w:val="en-US" w:eastAsia="zh-CN"/>
        </w:rPr>
        <w:t>9</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rPr>
        <w:t>食堂所有员工都需按校方规定交纳餐费，与师生同餐同价。</w:t>
      </w:r>
    </w:p>
    <w:p w14:paraId="15D1F7D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lang w:val="en-US" w:eastAsia="zh-CN"/>
        </w:rPr>
        <w:t>10</w:t>
      </w:r>
      <w:r>
        <w:rPr>
          <w:rFonts w:hint="eastAsia" w:ascii="宋体" w:hAnsi="宋体" w:eastAsia="宋体" w:cs="宋体"/>
          <w:sz w:val="28"/>
          <w:szCs w:val="24"/>
          <w:highlight w:val="none"/>
          <w:lang w:eastAsia="zh-CN"/>
        </w:rPr>
        <w:t>、</w:t>
      </w:r>
      <w:r>
        <w:rPr>
          <w:rFonts w:hint="eastAsia" w:ascii="宋体" w:hAnsi="宋体" w:eastAsia="宋体" w:cs="宋体"/>
          <w:sz w:val="28"/>
          <w:szCs w:val="24"/>
          <w:highlight w:val="none"/>
        </w:rPr>
        <w:t>付款方式：按全年招标价分10个月支付劳务派遣费用，下月初支付上月的费用。每月在应付劳务派遣费中本部食堂扣除</w:t>
      </w:r>
      <w:r>
        <w:rPr>
          <w:rFonts w:hint="eastAsia" w:ascii="宋体" w:hAnsi="宋体" w:cs="宋体"/>
          <w:sz w:val="28"/>
          <w:szCs w:val="24"/>
          <w:highlight w:val="none"/>
          <w:lang w:val="en-US" w:eastAsia="zh-CN"/>
        </w:rPr>
        <w:t>2</w:t>
      </w:r>
      <w:r>
        <w:rPr>
          <w:rFonts w:hint="eastAsia" w:ascii="宋体" w:hAnsi="宋体" w:eastAsia="宋体" w:cs="宋体"/>
          <w:sz w:val="28"/>
          <w:szCs w:val="24"/>
          <w:highlight w:val="none"/>
        </w:rPr>
        <w:t>000元为服务质量保障金，在每学期结束后由校方组织考核并按考核等次发放服务质量保障金。总分为100分，得分在90分以上的全额发放，80--90分的发放90%，70--80分的发放80%，60--70分的发放60%，低于60分的不发放，下一年不再续签合同。</w:t>
      </w:r>
      <w:r>
        <w:rPr>
          <w:rFonts w:hint="eastAsia" w:ascii="宋体" w:hAnsi="宋体" w:cs="宋体"/>
          <w:sz w:val="28"/>
          <w:szCs w:val="24"/>
          <w:highlight w:val="none"/>
          <w:lang w:eastAsia="zh-CN"/>
        </w:rPr>
        <w:t>成交人</w:t>
      </w:r>
      <w:r>
        <w:rPr>
          <w:rFonts w:hint="eastAsia" w:ascii="宋体" w:hAnsi="宋体" w:eastAsia="宋体" w:cs="宋体"/>
          <w:sz w:val="28"/>
          <w:szCs w:val="24"/>
          <w:highlight w:val="none"/>
        </w:rPr>
        <w:t>在经营管理过程中，如出现以下问题，将从每学期服务质量保障金中优先扣除部分费用</w:t>
      </w:r>
      <w:r>
        <w:rPr>
          <w:rFonts w:hint="eastAsia" w:ascii="宋体" w:hAnsi="宋体" w:cs="宋体"/>
          <w:sz w:val="28"/>
          <w:szCs w:val="24"/>
          <w:highlight w:val="none"/>
          <w:lang w:eastAsia="zh-CN"/>
        </w:rPr>
        <w:t>：</w:t>
      </w:r>
      <w:r>
        <w:rPr>
          <w:rFonts w:hint="eastAsia" w:ascii="宋体" w:hAnsi="宋体" w:eastAsia="宋体" w:cs="宋体"/>
          <w:sz w:val="28"/>
          <w:szCs w:val="24"/>
          <w:highlight w:val="none"/>
        </w:rPr>
        <w:t>学校在食堂自查中每发现一个问题，扣除100元，县级主管部门(含市场监管局、教育局等)各类检查中每发现一个问题，扣除200元，省市主管部门各类检查中每发现一个问题，扣除300元，服务质量保障金扣完为止。</w:t>
      </w:r>
    </w:p>
    <w:p w14:paraId="2BB0478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4"/>
          <w:highlight w:val="none"/>
        </w:rPr>
      </w:pPr>
      <w:r>
        <w:rPr>
          <w:rFonts w:hint="eastAsia" w:ascii="宋体" w:hAnsi="宋体" w:eastAsia="宋体" w:cs="宋体"/>
          <w:sz w:val="28"/>
          <w:szCs w:val="24"/>
          <w:highlight w:val="none"/>
          <w:lang w:val="en-US" w:eastAsia="zh-CN"/>
        </w:rPr>
        <w:t>11、</w:t>
      </w:r>
      <w:r>
        <w:rPr>
          <w:rFonts w:hint="eastAsia" w:ascii="宋体" w:hAnsi="宋体" w:eastAsia="宋体" w:cs="宋体"/>
          <w:sz w:val="28"/>
          <w:szCs w:val="24"/>
          <w:highlight w:val="none"/>
        </w:rPr>
        <w:t>校方负责财务管理和食材采购</w:t>
      </w:r>
      <w:r>
        <w:rPr>
          <w:rFonts w:hint="eastAsia" w:ascii="宋体" w:hAnsi="宋体" w:cs="宋体"/>
          <w:sz w:val="28"/>
          <w:szCs w:val="24"/>
          <w:highlight w:val="none"/>
          <w:lang w:val="en-US" w:eastAsia="zh-CN"/>
        </w:rPr>
        <w:t>和验收</w:t>
      </w:r>
      <w:r>
        <w:rPr>
          <w:rFonts w:hint="eastAsia" w:ascii="宋体" w:hAnsi="宋体" w:eastAsia="宋体" w:cs="宋体"/>
          <w:sz w:val="28"/>
          <w:szCs w:val="24"/>
          <w:highlight w:val="none"/>
        </w:rPr>
        <w:t>，学校食堂使用食材由县中小学食堂集中配送单位集中配送，校方负责水、电、燃气费、低值易耗品、维保维修、劳保用品等相关费用。</w:t>
      </w:r>
    </w:p>
    <w:p w14:paraId="68E333A1">
      <w:pPr>
        <w:rPr>
          <w:rFonts w:hint="eastAsia" w:ascii="宋体" w:hAnsi="宋体" w:eastAsia="宋体" w:cs="宋体"/>
          <w:sz w:val="28"/>
          <w:szCs w:val="24"/>
          <w:highlight w:val="none"/>
        </w:rPr>
      </w:pPr>
      <w:r>
        <w:rPr>
          <w:rFonts w:hint="eastAsia" w:ascii="宋体" w:hAnsi="宋体" w:eastAsia="宋体" w:cs="宋体"/>
          <w:sz w:val="28"/>
          <w:szCs w:val="24"/>
          <w:highlight w:val="none"/>
        </w:rPr>
        <w:br w:type="page"/>
      </w:r>
    </w:p>
    <w:tbl>
      <w:tblPr>
        <w:tblStyle w:val="34"/>
        <w:tblW w:w="8379" w:type="dxa"/>
        <w:jc w:val="center"/>
        <w:tblLayout w:type="autofit"/>
        <w:tblCellMar>
          <w:top w:w="0" w:type="dxa"/>
          <w:left w:w="108" w:type="dxa"/>
          <w:bottom w:w="0" w:type="dxa"/>
          <w:right w:w="108" w:type="dxa"/>
        </w:tblCellMar>
      </w:tblPr>
      <w:tblGrid>
        <w:gridCol w:w="1008"/>
        <w:gridCol w:w="2693"/>
        <w:gridCol w:w="1559"/>
        <w:gridCol w:w="1559"/>
        <w:gridCol w:w="1560"/>
      </w:tblGrid>
      <w:tr w14:paraId="1A9919B4">
        <w:tblPrEx>
          <w:tblCellMar>
            <w:top w:w="0" w:type="dxa"/>
            <w:left w:w="108" w:type="dxa"/>
            <w:bottom w:w="0" w:type="dxa"/>
            <w:right w:w="108" w:type="dxa"/>
          </w:tblCellMar>
        </w:tblPrEx>
        <w:trPr>
          <w:trHeight w:val="1065" w:hRule="atLeast"/>
          <w:jc w:val="center"/>
        </w:trPr>
        <w:tc>
          <w:tcPr>
            <w:tcW w:w="8379" w:type="dxa"/>
            <w:gridSpan w:val="5"/>
            <w:tcBorders>
              <w:top w:val="nil"/>
              <w:left w:val="nil"/>
              <w:bottom w:val="single" w:color="auto" w:sz="4" w:space="0"/>
              <w:right w:val="nil"/>
            </w:tcBorders>
            <w:noWrap/>
            <w:vAlign w:val="center"/>
          </w:tcPr>
          <w:p w14:paraId="2A9EAB07">
            <w:pPr>
              <w:widowControl/>
              <w:jc w:val="center"/>
              <w:rPr>
                <w:rFonts w:ascii="宋体" w:cs="宋体"/>
                <w:b/>
                <w:bCs/>
                <w:color w:val="000000"/>
                <w:kern w:val="0"/>
                <w:sz w:val="52"/>
                <w:szCs w:val="52"/>
                <w:highlight w:val="none"/>
              </w:rPr>
            </w:pPr>
            <w:r>
              <w:rPr>
                <w:rFonts w:hint="eastAsia" w:ascii="宋体" w:hAnsi="宋体" w:cs="宋体"/>
                <w:b/>
                <w:bCs/>
                <w:color w:val="000000"/>
                <w:kern w:val="0"/>
                <w:sz w:val="36"/>
                <w:szCs w:val="36"/>
                <w:highlight w:val="none"/>
                <w:lang w:val="en-US" w:eastAsia="zh-CN"/>
              </w:rPr>
              <w:t>霍山县城关小学</w:t>
            </w:r>
            <w:r>
              <w:rPr>
                <w:rFonts w:hint="eastAsia" w:ascii="宋体" w:hAnsi="宋体" w:cs="宋体"/>
                <w:b/>
                <w:bCs/>
                <w:color w:val="000000"/>
                <w:kern w:val="0"/>
                <w:sz w:val="36"/>
                <w:szCs w:val="36"/>
                <w:highlight w:val="none"/>
              </w:rPr>
              <w:t>食堂配备人员表</w:t>
            </w:r>
          </w:p>
        </w:tc>
      </w:tr>
      <w:tr w14:paraId="6138FC2D">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7B8D17D9">
            <w:pPr>
              <w:widowControl/>
              <w:jc w:val="center"/>
              <w:rPr>
                <w:rFonts w:ascii="宋体" w:cs="宋体"/>
                <w:color w:val="000000"/>
                <w:kern w:val="0"/>
                <w:sz w:val="28"/>
                <w:szCs w:val="28"/>
                <w:highlight w:val="none"/>
              </w:rPr>
            </w:pPr>
            <w:r>
              <w:rPr>
                <w:rFonts w:hint="eastAsia" w:ascii="宋体" w:hAnsi="宋体" w:cs="宋体"/>
                <w:color w:val="000000"/>
                <w:kern w:val="0"/>
                <w:sz w:val="28"/>
                <w:szCs w:val="28"/>
                <w:highlight w:val="none"/>
              </w:rPr>
              <w:t>序号</w:t>
            </w:r>
          </w:p>
        </w:tc>
        <w:tc>
          <w:tcPr>
            <w:tcW w:w="2693" w:type="dxa"/>
            <w:tcBorders>
              <w:top w:val="nil"/>
              <w:left w:val="nil"/>
              <w:bottom w:val="single" w:color="auto" w:sz="4" w:space="0"/>
              <w:right w:val="single" w:color="auto" w:sz="4" w:space="0"/>
            </w:tcBorders>
            <w:noWrap/>
            <w:vAlign w:val="center"/>
          </w:tcPr>
          <w:p w14:paraId="50AF3E72">
            <w:pPr>
              <w:widowControl/>
              <w:jc w:val="center"/>
              <w:rPr>
                <w:rFonts w:ascii="宋体" w:cs="宋体"/>
                <w:color w:val="000000"/>
                <w:kern w:val="0"/>
                <w:sz w:val="28"/>
                <w:szCs w:val="28"/>
                <w:highlight w:val="none"/>
              </w:rPr>
            </w:pPr>
            <w:r>
              <w:rPr>
                <w:rFonts w:hint="eastAsia" w:ascii="宋体" w:hAnsi="宋体" w:cs="宋体"/>
                <w:color w:val="000000"/>
                <w:kern w:val="0"/>
                <w:sz w:val="28"/>
                <w:szCs w:val="28"/>
                <w:highlight w:val="none"/>
              </w:rPr>
              <w:t>岗位</w:t>
            </w:r>
          </w:p>
        </w:tc>
        <w:tc>
          <w:tcPr>
            <w:tcW w:w="1559" w:type="dxa"/>
            <w:tcBorders>
              <w:top w:val="nil"/>
              <w:left w:val="nil"/>
              <w:bottom w:val="single" w:color="auto" w:sz="4" w:space="0"/>
              <w:right w:val="single" w:color="auto" w:sz="4" w:space="0"/>
            </w:tcBorders>
            <w:noWrap/>
            <w:vAlign w:val="center"/>
          </w:tcPr>
          <w:p w14:paraId="699D2C70">
            <w:pPr>
              <w:widowControl/>
              <w:jc w:val="center"/>
              <w:rPr>
                <w:rFonts w:ascii="宋体" w:cs="宋体"/>
                <w:color w:val="000000"/>
                <w:kern w:val="0"/>
                <w:sz w:val="28"/>
                <w:szCs w:val="28"/>
                <w:highlight w:val="none"/>
              </w:rPr>
            </w:pPr>
            <w:r>
              <w:rPr>
                <w:rFonts w:hint="eastAsia" w:ascii="宋体" w:hAnsi="宋体" w:cs="宋体"/>
                <w:color w:val="000000"/>
                <w:kern w:val="0"/>
                <w:sz w:val="28"/>
                <w:szCs w:val="28"/>
                <w:highlight w:val="none"/>
              </w:rPr>
              <w:t>人数</w:t>
            </w:r>
          </w:p>
        </w:tc>
        <w:tc>
          <w:tcPr>
            <w:tcW w:w="1559" w:type="dxa"/>
            <w:tcBorders>
              <w:top w:val="nil"/>
              <w:left w:val="nil"/>
              <w:bottom w:val="single" w:color="auto" w:sz="4" w:space="0"/>
              <w:right w:val="single" w:color="auto" w:sz="4" w:space="0"/>
            </w:tcBorders>
            <w:noWrap/>
            <w:vAlign w:val="center"/>
          </w:tcPr>
          <w:p w14:paraId="2DC84E90">
            <w:pPr>
              <w:widowControl/>
              <w:jc w:val="center"/>
              <w:rPr>
                <w:rFonts w:ascii="宋体" w:cs="宋体"/>
                <w:color w:val="000000"/>
                <w:kern w:val="0"/>
                <w:sz w:val="28"/>
                <w:szCs w:val="28"/>
                <w:highlight w:val="none"/>
              </w:rPr>
            </w:pPr>
            <w:r>
              <w:rPr>
                <w:rFonts w:hint="eastAsia" w:ascii="宋体" w:hAnsi="宋体" w:cs="宋体"/>
                <w:color w:val="000000"/>
                <w:kern w:val="0"/>
                <w:sz w:val="28"/>
                <w:szCs w:val="28"/>
                <w:highlight w:val="none"/>
              </w:rPr>
              <w:t>月工资</w:t>
            </w:r>
          </w:p>
        </w:tc>
        <w:tc>
          <w:tcPr>
            <w:tcW w:w="1560" w:type="dxa"/>
            <w:tcBorders>
              <w:top w:val="nil"/>
              <w:left w:val="nil"/>
              <w:bottom w:val="single" w:color="auto" w:sz="4" w:space="0"/>
              <w:right w:val="single" w:color="auto" w:sz="4" w:space="0"/>
            </w:tcBorders>
            <w:noWrap/>
            <w:vAlign w:val="center"/>
          </w:tcPr>
          <w:p w14:paraId="29212783">
            <w:pPr>
              <w:widowControl/>
              <w:jc w:val="center"/>
              <w:rPr>
                <w:rFonts w:ascii="宋体" w:cs="宋体"/>
                <w:color w:val="000000"/>
                <w:kern w:val="0"/>
                <w:sz w:val="28"/>
                <w:szCs w:val="28"/>
                <w:highlight w:val="none"/>
              </w:rPr>
            </w:pPr>
            <w:r>
              <w:rPr>
                <w:rFonts w:hint="eastAsia" w:ascii="宋体" w:hAnsi="宋体" w:cs="宋体"/>
                <w:color w:val="000000"/>
                <w:kern w:val="0"/>
                <w:sz w:val="28"/>
                <w:szCs w:val="28"/>
                <w:highlight w:val="none"/>
              </w:rPr>
              <w:t>合计</w:t>
            </w:r>
          </w:p>
        </w:tc>
      </w:tr>
      <w:tr w14:paraId="2906E3D3">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03DDF97B">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1</w:t>
            </w:r>
          </w:p>
        </w:tc>
        <w:tc>
          <w:tcPr>
            <w:tcW w:w="2693" w:type="dxa"/>
            <w:tcBorders>
              <w:top w:val="nil"/>
              <w:left w:val="nil"/>
              <w:bottom w:val="single" w:color="auto" w:sz="4" w:space="0"/>
              <w:right w:val="single" w:color="auto" w:sz="4" w:space="0"/>
            </w:tcBorders>
            <w:noWrap/>
            <w:vAlign w:val="center"/>
          </w:tcPr>
          <w:p w14:paraId="060063B8">
            <w:pPr>
              <w:widowControl/>
              <w:jc w:val="center"/>
              <w:rPr>
                <w:rFonts w:ascii="宋体" w:cs="宋体"/>
                <w:color w:val="000000"/>
                <w:kern w:val="0"/>
                <w:sz w:val="28"/>
                <w:szCs w:val="28"/>
                <w:highlight w:val="none"/>
              </w:rPr>
            </w:pPr>
            <w:r>
              <w:rPr>
                <w:rFonts w:hint="eastAsia" w:ascii="宋体" w:hAnsi="宋体" w:cs="宋体"/>
                <w:color w:val="000000"/>
                <w:kern w:val="0"/>
                <w:sz w:val="28"/>
                <w:szCs w:val="28"/>
                <w:highlight w:val="none"/>
              </w:rPr>
              <w:t>食堂主管</w:t>
            </w:r>
          </w:p>
        </w:tc>
        <w:tc>
          <w:tcPr>
            <w:tcW w:w="1559" w:type="dxa"/>
            <w:tcBorders>
              <w:top w:val="nil"/>
              <w:left w:val="nil"/>
              <w:bottom w:val="single" w:color="auto" w:sz="4" w:space="0"/>
              <w:right w:val="single" w:color="auto" w:sz="4" w:space="0"/>
            </w:tcBorders>
            <w:noWrap/>
            <w:vAlign w:val="center"/>
          </w:tcPr>
          <w:p w14:paraId="47F77416">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1</w:t>
            </w:r>
          </w:p>
        </w:tc>
        <w:tc>
          <w:tcPr>
            <w:tcW w:w="1559" w:type="dxa"/>
            <w:tcBorders>
              <w:top w:val="nil"/>
              <w:left w:val="nil"/>
              <w:bottom w:val="single" w:color="auto" w:sz="4" w:space="0"/>
              <w:right w:val="single" w:color="auto" w:sz="4" w:space="0"/>
            </w:tcBorders>
            <w:noWrap/>
            <w:vAlign w:val="center"/>
          </w:tcPr>
          <w:p w14:paraId="26CBC383">
            <w:pPr>
              <w:widowControl/>
              <w:jc w:val="center"/>
              <w:rPr>
                <w:rFonts w:hint="default" w:ascii="宋体" w:eastAsia="宋体" w:cs="宋体"/>
                <w:color w:val="000000"/>
                <w:kern w:val="0"/>
                <w:sz w:val="28"/>
                <w:szCs w:val="28"/>
                <w:highlight w:val="none"/>
                <w:lang w:val="en-US" w:eastAsia="zh-CN"/>
              </w:rPr>
            </w:pPr>
          </w:p>
        </w:tc>
        <w:tc>
          <w:tcPr>
            <w:tcW w:w="1560" w:type="dxa"/>
            <w:tcBorders>
              <w:top w:val="nil"/>
              <w:left w:val="nil"/>
              <w:bottom w:val="single" w:color="auto" w:sz="4" w:space="0"/>
              <w:right w:val="single" w:color="auto" w:sz="4" w:space="0"/>
            </w:tcBorders>
            <w:noWrap/>
            <w:vAlign w:val="center"/>
          </w:tcPr>
          <w:p w14:paraId="1A867FDB">
            <w:pPr>
              <w:widowControl/>
              <w:jc w:val="center"/>
              <w:rPr>
                <w:rFonts w:hint="default" w:ascii="宋体" w:eastAsia="宋体" w:cs="宋体"/>
                <w:color w:val="000000"/>
                <w:kern w:val="0"/>
                <w:sz w:val="28"/>
                <w:szCs w:val="28"/>
                <w:highlight w:val="none"/>
                <w:lang w:val="en-US" w:eastAsia="zh-CN"/>
              </w:rPr>
            </w:pPr>
          </w:p>
        </w:tc>
      </w:tr>
      <w:tr w14:paraId="4F587149">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6BD81F15">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2</w:t>
            </w:r>
          </w:p>
        </w:tc>
        <w:tc>
          <w:tcPr>
            <w:tcW w:w="2693" w:type="dxa"/>
            <w:tcBorders>
              <w:top w:val="nil"/>
              <w:left w:val="nil"/>
              <w:bottom w:val="single" w:color="auto" w:sz="4" w:space="0"/>
              <w:right w:val="single" w:color="auto" w:sz="4" w:space="0"/>
            </w:tcBorders>
            <w:noWrap/>
            <w:vAlign w:val="center"/>
          </w:tcPr>
          <w:p w14:paraId="568CD956">
            <w:pPr>
              <w:widowControl/>
              <w:jc w:val="center"/>
              <w:rPr>
                <w:rFonts w:ascii="宋体" w:cs="宋体"/>
                <w:color w:val="000000"/>
                <w:kern w:val="0"/>
                <w:sz w:val="28"/>
                <w:szCs w:val="28"/>
                <w:highlight w:val="none"/>
              </w:rPr>
            </w:pPr>
            <w:r>
              <w:rPr>
                <w:rFonts w:hint="eastAsia" w:ascii="宋体" w:hAnsi="宋体" w:cs="宋体"/>
                <w:color w:val="000000"/>
                <w:kern w:val="0"/>
                <w:sz w:val="28"/>
                <w:szCs w:val="28"/>
                <w:highlight w:val="none"/>
              </w:rPr>
              <w:t>大厨</w:t>
            </w:r>
          </w:p>
        </w:tc>
        <w:tc>
          <w:tcPr>
            <w:tcW w:w="1559" w:type="dxa"/>
            <w:tcBorders>
              <w:top w:val="nil"/>
              <w:left w:val="nil"/>
              <w:bottom w:val="single" w:color="auto" w:sz="4" w:space="0"/>
              <w:right w:val="single" w:color="auto" w:sz="4" w:space="0"/>
            </w:tcBorders>
            <w:noWrap/>
            <w:vAlign w:val="center"/>
          </w:tcPr>
          <w:p w14:paraId="5E657821">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1</w:t>
            </w:r>
          </w:p>
        </w:tc>
        <w:tc>
          <w:tcPr>
            <w:tcW w:w="1559" w:type="dxa"/>
            <w:tcBorders>
              <w:top w:val="nil"/>
              <w:left w:val="nil"/>
              <w:bottom w:val="single" w:color="auto" w:sz="4" w:space="0"/>
              <w:right w:val="single" w:color="auto" w:sz="4" w:space="0"/>
            </w:tcBorders>
            <w:noWrap/>
            <w:vAlign w:val="center"/>
          </w:tcPr>
          <w:p w14:paraId="68E54C37">
            <w:pPr>
              <w:widowControl/>
              <w:jc w:val="center"/>
              <w:rPr>
                <w:rFonts w:hint="default" w:ascii="宋体" w:eastAsia="宋体" w:cs="宋体"/>
                <w:color w:val="000000"/>
                <w:kern w:val="0"/>
                <w:sz w:val="28"/>
                <w:szCs w:val="28"/>
                <w:highlight w:val="none"/>
                <w:lang w:val="en-US" w:eastAsia="zh-CN"/>
              </w:rPr>
            </w:pPr>
          </w:p>
        </w:tc>
        <w:tc>
          <w:tcPr>
            <w:tcW w:w="1560" w:type="dxa"/>
            <w:tcBorders>
              <w:top w:val="nil"/>
              <w:left w:val="nil"/>
              <w:bottom w:val="single" w:color="auto" w:sz="4" w:space="0"/>
              <w:right w:val="single" w:color="auto" w:sz="4" w:space="0"/>
            </w:tcBorders>
            <w:noWrap/>
            <w:vAlign w:val="center"/>
          </w:tcPr>
          <w:p w14:paraId="708A0C91">
            <w:pPr>
              <w:widowControl/>
              <w:jc w:val="center"/>
              <w:rPr>
                <w:rFonts w:hint="default" w:ascii="宋体" w:eastAsia="宋体" w:cs="宋体"/>
                <w:color w:val="000000"/>
                <w:kern w:val="0"/>
                <w:sz w:val="28"/>
                <w:szCs w:val="28"/>
                <w:highlight w:val="none"/>
                <w:lang w:val="en-US" w:eastAsia="zh-CN"/>
              </w:rPr>
            </w:pPr>
          </w:p>
        </w:tc>
      </w:tr>
      <w:tr w14:paraId="289C428F">
        <w:tblPrEx>
          <w:tblCellMar>
            <w:top w:w="0" w:type="dxa"/>
            <w:left w:w="108" w:type="dxa"/>
            <w:bottom w:w="0" w:type="dxa"/>
            <w:right w:w="108" w:type="dxa"/>
          </w:tblCellMar>
        </w:tblPrEx>
        <w:trPr>
          <w:trHeight w:val="756" w:hRule="atLeast"/>
          <w:jc w:val="center"/>
        </w:trPr>
        <w:tc>
          <w:tcPr>
            <w:tcW w:w="1008" w:type="dxa"/>
            <w:tcBorders>
              <w:top w:val="nil"/>
              <w:left w:val="single" w:color="auto" w:sz="4" w:space="0"/>
              <w:bottom w:val="single" w:color="auto" w:sz="4" w:space="0"/>
              <w:right w:val="single" w:color="auto" w:sz="4" w:space="0"/>
            </w:tcBorders>
            <w:noWrap/>
            <w:vAlign w:val="center"/>
          </w:tcPr>
          <w:p w14:paraId="4CA7B570">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3</w:t>
            </w:r>
          </w:p>
        </w:tc>
        <w:tc>
          <w:tcPr>
            <w:tcW w:w="2693" w:type="dxa"/>
            <w:tcBorders>
              <w:top w:val="nil"/>
              <w:left w:val="nil"/>
              <w:bottom w:val="single" w:color="auto" w:sz="4" w:space="0"/>
              <w:right w:val="single" w:color="auto" w:sz="4" w:space="0"/>
            </w:tcBorders>
            <w:noWrap/>
            <w:vAlign w:val="center"/>
          </w:tcPr>
          <w:p w14:paraId="4F303A7F">
            <w:pPr>
              <w:widowControl/>
              <w:jc w:val="center"/>
              <w:rPr>
                <w:rFonts w:ascii="宋体" w:cs="宋体"/>
                <w:color w:val="000000"/>
                <w:kern w:val="0"/>
                <w:sz w:val="28"/>
                <w:szCs w:val="28"/>
                <w:highlight w:val="none"/>
              </w:rPr>
            </w:pPr>
            <w:r>
              <w:rPr>
                <w:rFonts w:hint="eastAsia" w:ascii="宋体" w:hAnsi="宋体" w:cs="宋体"/>
                <w:color w:val="000000"/>
                <w:kern w:val="0"/>
                <w:sz w:val="28"/>
                <w:szCs w:val="28"/>
                <w:highlight w:val="none"/>
              </w:rPr>
              <w:t>二厨</w:t>
            </w:r>
          </w:p>
        </w:tc>
        <w:tc>
          <w:tcPr>
            <w:tcW w:w="1559" w:type="dxa"/>
            <w:tcBorders>
              <w:top w:val="nil"/>
              <w:left w:val="nil"/>
              <w:bottom w:val="single" w:color="auto" w:sz="4" w:space="0"/>
              <w:right w:val="single" w:color="auto" w:sz="4" w:space="0"/>
            </w:tcBorders>
            <w:noWrap/>
            <w:vAlign w:val="center"/>
          </w:tcPr>
          <w:p w14:paraId="57AB202B">
            <w:pPr>
              <w:widowControl/>
              <w:jc w:val="center"/>
              <w:rPr>
                <w:rFonts w:hint="eastAsia" w:ascii="宋体" w:eastAsia="宋体" w:cs="宋体"/>
                <w:color w:val="000000"/>
                <w:kern w:val="0"/>
                <w:sz w:val="28"/>
                <w:szCs w:val="28"/>
                <w:highlight w:val="none"/>
                <w:lang w:eastAsia="zh-CN"/>
              </w:rPr>
            </w:pPr>
            <w:r>
              <w:rPr>
                <w:rFonts w:hint="eastAsia" w:ascii="宋体" w:hAnsi="宋体" w:cs="宋体"/>
                <w:color w:val="000000"/>
                <w:kern w:val="0"/>
                <w:sz w:val="28"/>
                <w:szCs w:val="28"/>
                <w:highlight w:val="none"/>
                <w:lang w:val="en-US" w:eastAsia="zh-CN"/>
              </w:rPr>
              <w:t>1</w:t>
            </w:r>
          </w:p>
        </w:tc>
        <w:tc>
          <w:tcPr>
            <w:tcW w:w="1559" w:type="dxa"/>
            <w:tcBorders>
              <w:top w:val="nil"/>
              <w:left w:val="nil"/>
              <w:bottom w:val="single" w:color="auto" w:sz="4" w:space="0"/>
              <w:right w:val="single" w:color="auto" w:sz="4" w:space="0"/>
            </w:tcBorders>
            <w:noWrap/>
            <w:vAlign w:val="center"/>
          </w:tcPr>
          <w:p w14:paraId="19BCEEA2">
            <w:pPr>
              <w:widowControl/>
              <w:jc w:val="center"/>
              <w:rPr>
                <w:rFonts w:hint="default" w:ascii="宋体" w:eastAsia="宋体" w:cs="宋体"/>
                <w:color w:val="000000"/>
                <w:kern w:val="0"/>
                <w:sz w:val="28"/>
                <w:szCs w:val="28"/>
                <w:highlight w:val="none"/>
                <w:lang w:val="en-US" w:eastAsia="zh-CN"/>
              </w:rPr>
            </w:pPr>
          </w:p>
        </w:tc>
        <w:tc>
          <w:tcPr>
            <w:tcW w:w="1560" w:type="dxa"/>
            <w:tcBorders>
              <w:top w:val="nil"/>
              <w:left w:val="nil"/>
              <w:bottom w:val="single" w:color="auto" w:sz="4" w:space="0"/>
              <w:right w:val="single" w:color="auto" w:sz="4" w:space="0"/>
            </w:tcBorders>
            <w:noWrap/>
            <w:vAlign w:val="center"/>
          </w:tcPr>
          <w:p w14:paraId="397E594C">
            <w:pPr>
              <w:widowControl/>
              <w:jc w:val="center"/>
              <w:rPr>
                <w:rFonts w:hint="default" w:ascii="宋体" w:eastAsia="宋体" w:cs="宋体"/>
                <w:color w:val="000000"/>
                <w:kern w:val="0"/>
                <w:sz w:val="28"/>
                <w:szCs w:val="28"/>
                <w:highlight w:val="none"/>
                <w:lang w:val="en-US" w:eastAsia="zh-CN"/>
              </w:rPr>
            </w:pPr>
          </w:p>
        </w:tc>
      </w:tr>
      <w:tr w14:paraId="5BF2C278">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364AFA9F">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4</w:t>
            </w:r>
          </w:p>
        </w:tc>
        <w:tc>
          <w:tcPr>
            <w:tcW w:w="2693" w:type="dxa"/>
            <w:tcBorders>
              <w:top w:val="nil"/>
              <w:left w:val="nil"/>
              <w:bottom w:val="single" w:color="auto" w:sz="4" w:space="0"/>
              <w:right w:val="single" w:color="auto" w:sz="4" w:space="0"/>
            </w:tcBorders>
            <w:noWrap/>
            <w:vAlign w:val="center"/>
          </w:tcPr>
          <w:p w14:paraId="781C75AE">
            <w:pPr>
              <w:widowControl/>
              <w:jc w:val="center"/>
              <w:rPr>
                <w:rFonts w:ascii="宋体" w:cs="宋体"/>
                <w:color w:val="000000"/>
                <w:kern w:val="0"/>
                <w:sz w:val="28"/>
                <w:szCs w:val="28"/>
                <w:highlight w:val="none"/>
              </w:rPr>
            </w:pPr>
            <w:r>
              <w:rPr>
                <w:rFonts w:hint="eastAsia" w:ascii="宋体" w:hAnsi="宋体" w:cs="宋体"/>
                <w:color w:val="000000"/>
                <w:kern w:val="0"/>
                <w:sz w:val="28"/>
                <w:szCs w:val="28"/>
                <w:highlight w:val="none"/>
              </w:rPr>
              <w:t>面点师</w:t>
            </w:r>
          </w:p>
        </w:tc>
        <w:tc>
          <w:tcPr>
            <w:tcW w:w="1559" w:type="dxa"/>
            <w:tcBorders>
              <w:top w:val="nil"/>
              <w:left w:val="nil"/>
              <w:bottom w:val="single" w:color="auto" w:sz="4" w:space="0"/>
              <w:right w:val="single" w:color="auto" w:sz="4" w:space="0"/>
            </w:tcBorders>
            <w:noWrap/>
            <w:vAlign w:val="center"/>
          </w:tcPr>
          <w:p w14:paraId="08884734">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1</w:t>
            </w:r>
          </w:p>
        </w:tc>
        <w:tc>
          <w:tcPr>
            <w:tcW w:w="1559" w:type="dxa"/>
            <w:tcBorders>
              <w:top w:val="nil"/>
              <w:left w:val="nil"/>
              <w:bottom w:val="single" w:color="auto" w:sz="4" w:space="0"/>
              <w:right w:val="single" w:color="auto" w:sz="4" w:space="0"/>
            </w:tcBorders>
            <w:noWrap/>
            <w:vAlign w:val="center"/>
          </w:tcPr>
          <w:p w14:paraId="51FF7A06">
            <w:pPr>
              <w:widowControl/>
              <w:jc w:val="center"/>
              <w:rPr>
                <w:rFonts w:ascii="宋体" w:cs="宋体"/>
                <w:color w:val="000000"/>
                <w:kern w:val="0"/>
                <w:sz w:val="28"/>
                <w:szCs w:val="28"/>
                <w:highlight w:val="none"/>
              </w:rPr>
            </w:pPr>
          </w:p>
        </w:tc>
        <w:tc>
          <w:tcPr>
            <w:tcW w:w="1560" w:type="dxa"/>
            <w:tcBorders>
              <w:top w:val="nil"/>
              <w:left w:val="nil"/>
              <w:bottom w:val="single" w:color="auto" w:sz="4" w:space="0"/>
              <w:right w:val="single" w:color="auto" w:sz="4" w:space="0"/>
            </w:tcBorders>
            <w:noWrap/>
            <w:vAlign w:val="center"/>
          </w:tcPr>
          <w:p w14:paraId="0A8184FA">
            <w:pPr>
              <w:widowControl/>
              <w:jc w:val="center"/>
              <w:rPr>
                <w:rFonts w:ascii="宋体" w:cs="宋体"/>
                <w:color w:val="000000"/>
                <w:kern w:val="0"/>
                <w:sz w:val="28"/>
                <w:szCs w:val="28"/>
                <w:highlight w:val="none"/>
              </w:rPr>
            </w:pPr>
          </w:p>
        </w:tc>
      </w:tr>
      <w:tr w14:paraId="0DD8A998">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412F3F33">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5</w:t>
            </w:r>
          </w:p>
        </w:tc>
        <w:tc>
          <w:tcPr>
            <w:tcW w:w="2693" w:type="dxa"/>
            <w:tcBorders>
              <w:top w:val="nil"/>
              <w:left w:val="nil"/>
              <w:bottom w:val="single" w:color="auto" w:sz="4" w:space="0"/>
              <w:right w:val="single" w:color="auto" w:sz="4" w:space="0"/>
            </w:tcBorders>
            <w:noWrap/>
            <w:vAlign w:val="center"/>
          </w:tcPr>
          <w:p w14:paraId="2A287A99">
            <w:pPr>
              <w:widowControl/>
              <w:jc w:val="center"/>
              <w:rPr>
                <w:rFonts w:ascii="宋体" w:cs="宋体"/>
                <w:color w:val="000000"/>
                <w:kern w:val="0"/>
                <w:sz w:val="28"/>
                <w:szCs w:val="28"/>
                <w:highlight w:val="none"/>
              </w:rPr>
            </w:pPr>
            <w:r>
              <w:rPr>
                <w:rFonts w:hint="eastAsia" w:ascii="宋体" w:hAnsi="宋体" w:cs="宋体"/>
                <w:color w:val="000000"/>
                <w:kern w:val="0"/>
                <w:sz w:val="28"/>
                <w:szCs w:val="28"/>
                <w:highlight w:val="none"/>
              </w:rPr>
              <w:t>蒸饭师</w:t>
            </w:r>
          </w:p>
        </w:tc>
        <w:tc>
          <w:tcPr>
            <w:tcW w:w="1559" w:type="dxa"/>
            <w:tcBorders>
              <w:top w:val="nil"/>
              <w:left w:val="nil"/>
              <w:bottom w:val="single" w:color="auto" w:sz="4" w:space="0"/>
              <w:right w:val="single" w:color="auto" w:sz="4" w:space="0"/>
            </w:tcBorders>
            <w:noWrap/>
            <w:vAlign w:val="center"/>
          </w:tcPr>
          <w:p w14:paraId="286454F8">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1</w:t>
            </w:r>
          </w:p>
        </w:tc>
        <w:tc>
          <w:tcPr>
            <w:tcW w:w="1559" w:type="dxa"/>
            <w:tcBorders>
              <w:top w:val="nil"/>
              <w:left w:val="nil"/>
              <w:bottom w:val="single" w:color="auto" w:sz="4" w:space="0"/>
              <w:right w:val="single" w:color="auto" w:sz="4" w:space="0"/>
            </w:tcBorders>
            <w:noWrap/>
            <w:vAlign w:val="center"/>
          </w:tcPr>
          <w:p w14:paraId="09B5392D">
            <w:pPr>
              <w:widowControl/>
              <w:jc w:val="center"/>
              <w:rPr>
                <w:rFonts w:hint="default" w:ascii="宋体" w:eastAsia="宋体" w:cs="宋体"/>
                <w:color w:val="000000"/>
                <w:kern w:val="0"/>
                <w:sz w:val="28"/>
                <w:szCs w:val="28"/>
                <w:highlight w:val="none"/>
                <w:lang w:val="en-US" w:eastAsia="zh-CN"/>
              </w:rPr>
            </w:pPr>
          </w:p>
        </w:tc>
        <w:tc>
          <w:tcPr>
            <w:tcW w:w="1560" w:type="dxa"/>
            <w:tcBorders>
              <w:top w:val="nil"/>
              <w:left w:val="nil"/>
              <w:bottom w:val="single" w:color="auto" w:sz="4" w:space="0"/>
              <w:right w:val="single" w:color="auto" w:sz="4" w:space="0"/>
            </w:tcBorders>
            <w:noWrap/>
            <w:vAlign w:val="center"/>
          </w:tcPr>
          <w:p w14:paraId="49342A0C">
            <w:pPr>
              <w:widowControl/>
              <w:jc w:val="center"/>
              <w:rPr>
                <w:rFonts w:ascii="宋体" w:cs="宋体"/>
                <w:color w:val="000000"/>
                <w:kern w:val="0"/>
                <w:sz w:val="28"/>
                <w:szCs w:val="28"/>
                <w:highlight w:val="none"/>
              </w:rPr>
            </w:pPr>
          </w:p>
        </w:tc>
      </w:tr>
      <w:tr w14:paraId="6C25ABF8">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245D2815">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6</w:t>
            </w:r>
          </w:p>
        </w:tc>
        <w:tc>
          <w:tcPr>
            <w:tcW w:w="2693" w:type="dxa"/>
            <w:tcBorders>
              <w:top w:val="nil"/>
              <w:left w:val="nil"/>
              <w:bottom w:val="single" w:color="auto" w:sz="4" w:space="0"/>
              <w:right w:val="single" w:color="auto" w:sz="4" w:space="0"/>
            </w:tcBorders>
            <w:noWrap/>
            <w:vAlign w:val="center"/>
          </w:tcPr>
          <w:p w14:paraId="4F82EDAD">
            <w:pPr>
              <w:widowControl/>
              <w:jc w:val="center"/>
              <w:rPr>
                <w:rFonts w:ascii="宋体" w:cs="宋体"/>
                <w:color w:val="000000"/>
                <w:kern w:val="0"/>
                <w:sz w:val="28"/>
                <w:szCs w:val="28"/>
                <w:highlight w:val="none"/>
              </w:rPr>
            </w:pPr>
            <w:r>
              <w:rPr>
                <w:rFonts w:hint="eastAsia" w:ascii="宋体" w:hAnsi="宋体" w:cs="宋体"/>
                <w:color w:val="000000"/>
                <w:kern w:val="0"/>
                <w:sz w:val="28"/>
                <w:szCs w:val="28"/>
                <w:highlight w:val="none"/>
              </w:rPr>
              <w:t>切配工</w:t>
            </w:r>
          </w:p>
        </w:tc>
        <w:tc>
          <w:tcPr>
            <w:tcW w:w="1559" w:type="dxa"/>
            <w:tcBorders>
              <w:top w:val="nil"/>
              <w:left w:val="nil"/>
              <w:bottom w:val="single" w:color="auto" w:sz="4" w:space="0"/>
              <w:right w:val="single" w:color="auto" w:sz="4" w:space="0"/>
            </w:tcBorders>
            <w:noWrap/>
            <w:vAlign w:val="center"/>
          </w:tcPr>
          <w:p w14:paraId="33C98F9E">
            <w:pPr>
              <w:widowControl/>
              <w:jc w:val="center"/>
              <w:rPr>
                <w:rFonts w:hint="eastAsia" w:ascii="宋体" w:eastAsia="宋体" w:cs="宋体"/>
                <w:color w:val="000000"/>
                <w:kern w:val="0"/>
                <w:sz w:val="28"/>
                <w:szCs w:val="28"/>
                <w:highlight w:val="none"/>
                <w:lang w:eastAsia="zh-CN"/>
              </w:rPr>
            </w:pPr>
            <w:r>
              <w:rPr>
                <w:rFonts w:hint="eastAsia" w:ascii="宋体" w:hAnsi="宋体" w:cs="宋体"/>
                <w:color w:val="000000"/>
                <w:kern w:val="0"/>
                <w:sz w:val="28"/>
                <w:szCs w:val="28"/>
                <w:highlight w:val="none"/>
                <w:lang w:val="en-US" w:eastAsia="zh-CN"/>
              </w:rPr>
              <w:t>3</w:t>
            </w:r>
          </w:p>
        </w:tc>
        <w:tc>
          <w:tcPr>
            <w:tcW w:w="1559" w:type="dxa"/>
            <w:tcBorders>
              <w:top w:val="nil"/>
              <w:left w:val="nil"/>
              <w:bottom w:val="single" w:color="auto" w:sz="4" w:space="0"/>
              <w:right w:val="single" w:color="auto" w:sz="4" w:space="0"/>
            </w:tcBorders>
            <w:noWrap/>
            <w:vAlign w:val="center"/>
          </w:tcPr>
          <w:p w14:paraId="2031D256">
            <w:pPr>
              <w:widowControl/>
              <w:jc w:val="center"/>
              <w:rPr>
                <w:rFonts w:hint="default" w:ascii="宋体" w:eastAsia="宋体" w:cs="宋体"/>
                <w:color w:val="000000"/>
                <w:kern w:val="0"/>
                <w:sz w:val="28"/>
                <w:szCs w:val="28"/>
                <w:highlight w:val="none"/>
                <w:lang w:val="en-US" w:eastAsia="zh-CN"/>
              </w:rPr>
            </w:pPr>
          </w:p>
        </w:tc>
        <w:tc>
          <w:tcPr>
            <w:tcW w:w="1560" w:type="dxa"/>
            <w:tcBorders>
              <w:top w:val="nil"/>
              <w:left w:val="nil"/>
              <w:bottom w:val="single" w:color="auto" w:sz="4" w:space="0"/>
              <w:right w:val="single" w:color="auto" w:sz="4" w:space="0"/>
            </w:tcBorders>
            <w:noWrap/>
            <w:vAlign w:val="center"/>
          </w:tcPr>
          <w:p w14:paraId="6AC20AD4">
            <w:pPr>
              <w:widowControl/>
              <w:jc w:val="center"/>
              <w:rPr>
                <w:rFonts w:hint="default" w:ascii="宋体" w:eastAsia="宋体" w:cs="宋体"/>
                <w:color w:val="000000"/>
                <w:kern w:val="0"/>
                <w:sz w:val="28"/>
                <w:szCs w:val="28"/>
                <w:highlight w:val="none"/>
                <w:lang w:val="en-US" w:eastAsia="zh-CN"/>
              </w:rPr>
            </w:pPr>
          </w:p>
        </w:tc>
      </w:tr>
      <w:tr w14:paraId="190BD04B">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5649AFED">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7</w:t>
            </w:r>
          </w:p>
        </w:tc>
        <w:tc>
          <w:tcPr>
            <w:tcW w:w="2693" w:type="dxa"/>
            <w:tcBorders>
              <w:top w:val="nil"/>
              <w:left w:val="nil"/>
              <w:bottom w:val="single" w:color="auto" w:sz="4" w:space="0"/>
              <w:right w:val="single" w:color="auto" w:sz="4" w:space="0"/>
            </w:tcBorders>
            <w:noWrap/>
            <w:vAlign w:val="center"/>
          </w:tcPr>
          <w:p w14:paraId="60AA09E5">
            <w:pPr>
              <w:widowControl/>
              <w:jc w:val="center"/>
              <w:rPr>
                <w:rFonts w:ascii="宋体" w:cs="宋体"/>
                <w:color w:val="000000"/>
                <w:kern w:val="0"/>
                <w:sz w:val="28"/>
                <w:szCs w:val="28"/>
                <w:highlight w:val="none"/>
              </w:rPr>
            </w:pPr>
            <w:r>
              <w:rPr>
                <w:rFonts w:hint="eastAsia" w:ascii="宋体" w:hAnsi="宋体" w:cs="宋体"/>
                <w:color w:val="000000"/>
                <w:kern w:val="0"/>
                <w:sz w:val="28"/>
                <w:szCs w:val="28"/>
                <w:highlight w:val="none"/>
              </w:rPr>
              <w:t>清洗工</w:t>
            </w:r>
          </w:p>
        </w:tc>
        <w:tc>
          <w:tcPr>
            <w:tcW w:w="1559" w:type="dxa"/>
            <w:tcBorders>
              <w:top w:val="nil"/>
              <w:left w:val="nil"/>
              <w:bottom w:val="single" w:color="auto" w:sz="4" w:space="0"/>
              <w:right w:val="single" w:color="auto" w:sz="4" w:space="0"/>
            </w:tcBorders>
            <w:noWrap/>
            <w:vAlign w:val="center"/>
          </w:tcPr>
          <w:p w14:paraId="1E26566E">
            <w:pPr>
              <w:widowControl/>
              <w:jc w:val="center"/>
              <w:rPr>
                <w:rFonts w:hint="eastAsia" w:ascii="宋体" w:eastAsia="宋体" w:cs="宋体"/>
                <w:color w:val="000000"/>
                <w:kern w:val="0"/>
                <w:sz w:val="28"/>
                <w:szCs w:val="28"/>
                <w:highlight w:val="none"/>
                <w:lang w:eastAsia="zh-CN"/>
              </w:rPr>
            </w:pPr>
            <w:r>
              <w:rPr>
                <w:rFonts w:hint="eastAsia" w:ascii="宋体" w:hAnsi="宋体" w:cs="宋体"/>
                <w:color w:val="000000"/>
                <w:kern w:val="0"/>
                <w:sz w:val="28"/>
                <w:szCs w:val="28"/>
                <w:highlight w:val="none"/>
                <w:lang w:val="en-US" w:eastAsia="zh-CN"/>
              </w:rPr>
              <w:t>2</w:t>
            </w:r>
          </w:p>
        </w:tc>
        <w:tc>
          <w:tcPr>
            <w:tcW w:w="1559" w:type="dxa"/>
            <w:tcBorders>
              <w:top w:val="nil"/>
              <w:left w:val="nil"/>
              <w:bottom w:val="single" w:color="auto" w:sz="4" w:space="0"/>
              <w:right w:val="single" w:color="auto" w:sz="4" w:space="0"/>
            </w:tcBorders>
            <w:noWrap/>
            <w:vAlign w:val="center"/>
          </w:tcPr>
          <w:p w14:paraId="7D60DB08">
            <w:pPr>
              <w:widowControl/>
              <w:jc w:val="center"/>
              <w:rPr>
                <w:rFonts w:hint="default" w:ascii="宋体" w:eastAsia="宋体" w:cs="宋体"/>
                <w:color w:val="000000"/>
                <w:kern w:val="0"/>
                <w:sz w:val="28"/>
                <w:szCs w:val="28"/>
                <w:highlight w:val="none"/>
                <w:lang w:val="en-US" w:eastAsia="zh-CN"/>
              </w:rPr>
            </w:pPr>
          </w:p>
        </w:tc>
        <w:tc>
          <w:tcPr>
            <w:tcW w:w="1560" w:type="dxa"/>
            <w:tcBorders>
              <w:top w:val="nil"/>
              <w:left w:val="nil"/>
              <w:bottom w:val="single" w:color="auto" w:sz="4" w:space="0"/>
              <w:right w:val="single" w:color="auto" w:sz="4" w:space="0"/>
            </w:tcBorders>
            <w:noWrap/>
            <w:vAlign w:val="center"/>
          </w:tcPr>
          <w:p w14:paraId="669918C9">
            <w:pPr>
              <w:widowControl/>
              <w:jc w:val="center"/>
              <w:rPr>
                <w:rFonts w:hint="default" w:ascii="宋体" w:eastAsia="宋体" w:cs="宋体"/>
                <w:color w:val="000000"/>
                <w:kern w:val="0"/>
                <w:sz w:val="28"/>
                <w:szCs w:val="28"/>
                <w:highlight w:val="none"/>
                <w:lang w:val="en-US" w:eastAsia="zh-CN"/>
              </w:rPr>
            </w:pPr>
          </w:p>
        </w:tc>
      </w:tr>
      <w:tr w14:paraId="4EB49C8E">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7C9C993E">
            <w:pPr>
              <w:widowControl/>
              <w:jc w:val="center"/>
              <w:rPr>
                <w:rFonts w:ascii="宋体" w:cs="宋体"/>
                <w:color w:val="000000"/>
                <w:kern w:val="0"/>
                <w:sz w:val="28"/>
                <w:szCs w:val="28"/>
                <w:highlight w:val="none"/>
              </w:rPr>
            </w:pPr>
            <w:r>
              <w:rPr>
                <w:rFonts w:ascii="宋体" w:hAnsi="宋体" w:cs="宋体"/>
                <w:color w:val="000000"/>
                <w:kern w:val="0"/>
                <w:sz w:val="28"/>
                <w:szCs w:val="28"/>
                <w:highlight w:val="none"/>
              </w:rPr>
              <w:t>8</w:t>
            </w:r>
          </w:p>
        </w:tc>
        <w:tc>
          <w:tcPr>
            <w:tcW w:w="2693" w:type="dxa"/>
            <w:tcBorders>
              <w:top w:val="nil"/>
              <w:left w:val="nil"/>
              <w:bottom w:val="single" w:color="auto" w:sz="4" w:space="0"/>
              <w:right w:val="single" w:color="auto" w:sz="4" w:space="0"/>
            </w:tcBorders>
            <w:noWrap/>
            <w:vAlign w:val="center"/>
          </w:tcPr>
          <w:p w14:paraId="66A732BA">
            <w:pPr>
              <w:widowControl/>
              <w:jc w:val="center"/>
              <w:rPr>
                <w:rFonts w:hint="eastAsia" w:ascii="宋体" w:eastAsia="宋体" w:cs="宋体"/>
                <w:color w:val="000000"/>
                <w:kern w:val="0"/>
                <w:sz w:val="28"/>
                <w:szCs w:val="28"/>
                <w:highlight w:val="none"/>
                <w:lang w:val="en-US" w:eastAsia="zh-CN"/>
              </w:rPr>
            </w:pPr>
            <w:r>
              <w:rPr>
                <w:rFonts w:hint="eastAsia" w:ascii="宋体" w:cs="宋体"/>
                <w:color w:val="000000"/>
                <w:kern w:val="0"/>
                <w:sz w:val="28"/>
                <w:szCs w:val="28"/>
                <w:highlight w:val="none"/>
                <w:lang w:val="en-US" w:eastAsia="zh-CN"/>
              </w:rPr>
              <w:t>帮</w:t>
            </w:r>
            <w:r>
              <w:rPr>
                <w:rFonts w:hint="eastAsia" w:ascii="宋体" w:hAnsi="宋体" w:cs="宋体"/>
                <w:color w:val="000000"/>
                <w:kern w:val="0"/>
                <w:sz w:val="28"/>
                <w:szCs w:val="28"/>
                <w:highlight w:val="none"/>
              </w:rPr>
              <w:t>厨</w:t>
            </w:r>
          </w:p>
        </w:tc>
        <w:tc>
          <w:tcPr>
            <w:tcW w:w="1559" w:type="dxa"/>
            <w:tcBorders>
              <w:top w:val="nil"/>
              <w:left w:val="nil"/>
              <w:bottom w:val="single" w:color="auto" w:sz="4" w:space="0"/>
              <w:right w:val="single" w:color="auto" w:sz="4" w:space="0"/>
            </w:tcBorders>
            <w:noWrap/>
            <w:vAlign w:val="center"/>
          </w:tcPr>
          <w:p w14:paraId="21397184">
            <w:pPr>
              <w:widowControl/>
              <w:jc w:val="center"/>
              <w:rPr>
                <w:rFonts w:hint="eastAsia" w:ascii="宋体" w:eastAsia="宋体" w:cs="宋体"/>
                <w:color w:val="000000"/>
                <w:kern w:val="0"/>
                <w:sz w:val="28"/>
                <w:szCs w:val="28"/>
                <w:highlight w:val="none"/>
                <w:lang w:val="en-US" w:eastAsia="zh-CN"/>
              </w:rPr>
            </w:pPr>
            <w:r>
              <w:rPr>
                <w:rFonts w:hint="eastAsia" w:ascii="宋体" w:cs="宋体"/>
                <w:color w:val="000000"/>
                <w:kern w:val="0"/>
                <w:sz w:val="28"/>
                <w:szCs w:val="28"/>
                <w:highlight w:val="none"/>
                <w:lang w:val="en-US" w:eastAsia="zh-CN"/>
              </w:rPr>
              <w:t>1</w:t>
            </w:r>
          </w:p>
        </w:tc>
        <w:tc>
          <w:tcPr>
            <w:tcW w:w="1559" w:type="dxa"/>
            <w:tcBorders>
              <w:top w:val="nil"/>
              <w:left w:val="nil"/>
              <w:bottom w:val="single" w:color="auto" w:sz="4" w:space="0"/>
              <w:right w:val="single" w:color="auto" w:sz="4" w:space="0"/>
            </w:tcBorders>
            <w:noWrap/>
            <w:vAlign w:val="center"/>
          </w:tcPr>
          <w:p w14:paraId="0862A8CB">
            <w:pPr>
              <w:widowControl/>
              <w:jc w:val="center"/>
              <w:rPr>
                <w:rFonts w:hint="default" w:ascii="宋体" w:eastAsia="宋体" w:cs="宋体"/>
                <w:color w:val="000000"/>
                <w:kern w:val="0"/>
                <w:sz w:val="28"/>
                <w:szCs w:val="28"/>
                <w:highlight w:val="none"/>
                <w:lang w:val="en-US" w:eastAsia="zh-CN"/>
              </w:rPr>
            </w:pPr>
          </w:p>
        </w:tc>
        <w:tc>
          <w:tcPr>
            <w:tcW w:w="1560" w:type="dxa"/>
            <w:tcBorders>
              <w:top w:val="nil"/>
              <w:left w:val="nil"/>
              <w:bottom w:val="single" w:color="auto" w:sz="4" w:space="0"/>
              <w:right w:val="single" w:color="auto" w:sz="4" w:space="0"/>
            </w:tcBorders>
            <w:noWrap/>
            <w:vAlign w:val="center"/>
          </w:tcPr>
          <w:p w14:paraId="30E9983A">
            <w:pPr>
              <w:widowControl/>
              <w:jc w:val="center"/>
              <w:rPr>
                <w:rFonts w:hint="default" w:ascii="宋体" w:eastAsia="宋体" w:cs="宋体"/>
                <w:color w:val="000000"/>
                <w:kern w:val="0"/>
                <w:sz w:val="28"/>
                <w:szCs w:val="28"/>
                <w:highlight w:val="none"/>
                <w:lang w:val="en-US" w:eastAsia="zh-CN"/>
              </w:rPr>
            </w:pPr>
          </w:p>
        </w:tc>
      </w:tr>
      <w:tr w14:paraId="348BBF9F">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670CF2E6">
            <w:pPr>
              <w:widowControl/>
              <w:jc w:val="center"/>
              <w:rPr>
                <w:rFonts w:hint="eastAsia" w:ascii="宋体" w:eastAsia="宋体" w:cs="宋体"/>
                <w:color w:val="000000"/>
                <w:kern w:val="0"/>
                <w:sz w:val="28"/>
                <w:szCs w:val="28"/>
                <w:highlight w:val="none"/>
                <w:lang w:eastAsia="zh-CN"/>
              </w:rPr>
            </w:pPr>
            <w:r>
              <w:rPr>
                <w:rFonts w:hint="eastAsia" w:ascii="宋体" w:hAnsi="宋体" w:cs="宋体"/>
                <w:color w:val="000000"/>
                <w:kern w:val="0"/>
                <w:sz w:val="28"/>
                <w:szCs w:val="28"/>
                <w:highlight w:val="none"/>
                <w:lang w:val="en-US" w:eastAsia="zh-CN"/>
              </w:rPr>
              <w:t>合计</w:t>
            </w:r>
          </w:p>
        </w:tc>
        <w:tc>
          <w:tcPr>
            <w:tcW w:w="2693" w:type="dxa"/>
            <w:tcBorders>
              <w:top w:val="nil"/>
              <w:left w:val="nil"/>
              <w:bottom w:val="single" w:color="auto" w:sz="4" w:space="0"/>
              <w:right w:val="single" w:color="auto" w:sz="4" w:space="0"/>
            </w:tcBorders>
            <w:noWrap/>
            <w:vAlign w:val="center"/>
          </w:tcPr>
          <w:p w14:paraId="6C65B7A0">
            <w:pPr>
              <w:widowControl/>
              <w:jc w:val="center"/>
              <w:rPr>
                <w:rFonts w:ascii="宋体" w:cs="宋体"/>
                <w:color w:val="000000"/>
                <w:kern w:val="0"/>
                <w:sz w:val="28"/>
                <w:szCs w:val="28"/>
                <w:highlight w:val="none"/>
              </w:rPr>
            </w:pPr>
          </w:p>
        </w:tc>
        <w:tc>
          <w:tcPr>
            <w:tcW w:w="1559" w:type="dxa"/>
            <w:tcBorders>
              <w:top w:val="nil"/>
              <w:left w:val="nil"/>
              <w:bottom w:val="single" w:color="auto" w:sz="4" w:space="0"/>
              <w:right w:val="single" w:color="auto" w:sz="4" w:space="0"/>
            </w:tcBorders>
            <w:noWrap/>
            <w:vAlign w:val="center"/>
          </w:tcPr>
          <w:p w14:paraId="5BA9141B">
            <w:pPr>
              <w:widowControl/>
              <w:jc w:val="center"/>
              <w:rPr>
                <w:rFonts w:hint="default" w:ascii="宋体" w:eastAsia="宋体" w:cs="宋体"/>
                <w:color w:val="000000"/>
                <w:kern w:val="0"/>
                <w:sz w:val="28"/>
                <w:szCs w:val="28"/>
                <w:highlight w:val="none"/>
                <w:lang w:val="en-US" w:eastAsia="zh-CN"/>
              </w:rPr>
            </w:pPr>
            <w:r>
              <w:rPr>
                <w:rFonts w:hint="eastAsia" w:ascii="宋体" w:cs="宋体"/>
                <w:color w:val="000000"/>
                <w:kern w:val="0"/>
                <w:sz w:val="28"/>
                <w:szCs w:val="28"/>
                <w:highlight w:val="none"/>
                <w:lang w:val="en-US" w:eastAsia="zh-CN"/>
              </w:rPr>
              <w:t>11</w:t>
            </w:r>
          </w:p>
        </w:tc>
        <w:tc>
          <w:tcPr>
            <w:tcW w:w="1559" w:type="dxa"/>
            <w:tcBorders>
              <w:top w:val="nil"/>
              <w:left w:val="nil"/>
              <w:bottom w:val="single" w:color="auto" w:sz="4" w:space="0"/>
              <w:right w:val="single" w:color="auto" w:sz="4" w:space="0"/>
            </w:tcBorders>
            <w:noWrap/>
            <w:vAlign w:val="center"/>
          </w:tcPr>
          <w:p w14:paraId="611CD5CB">
            <w:pPr>
              <w:widowControl/>
              <w:jc w:val="center"/>
              <w:rPr>
                <w:rFonts w:ascii="宋体" w:cs="宋体"/>
                <w:color w:val="000000"/>
                <w:kern w:val="0"/>
                <w:sz w:val="28"/>
                <w:szCs w:val="28"/>
                <w:highlight w:val="none"/>
              </w:rPr>
            </w:pPr>
          </w:p>
        </w:tc>
        <w:tc>
          <w:tcPr>
            <w:tcW w:w="1560" w:type="dxa"/>
            <w:tcBorders>
              <w:top w:val="nil"/>
              <w:left w:val="nil"/>
              <w:bottom w:val="single" w:color="auto" w:sz="4" w:space="0"/>
              <w:right w:val="single" w:color="auto" w:sz="4" w:space="0"/>
            </w:tcBorders>
            <w:noWrap/>
            <w:vAlign w:val="center"/>
          </w:tcPr>
          <w:p w14:paraId="42E61F89">
            <w:pPr>
              <w:widowControl/>
              <w:jc w:val="center"/>
              <w:rPr>
                <w:rFonts w:hint="default" w:ascii="宋体" w:eastAsia="宋体" w:cs="宋体"/>
                <w:color w:val="000000"/>
                <w:kern w:val="0"/>
                <w:sz w:val="28"/>
                <w:szCs w:val="28"/>
                <w:highlight w:val="none"/>
                <w:lang w:val="en-US" w:eastAsia="zh-CN"/>
              </w:rPr>
            </w:pPr>
          </w:p>
        </w:tc>
      </w:tr>
    </w:tbl>
    <w:p w14:paraId="104CCF1A">
      <w:pP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br w:type="page"/>
      </w:r>
    </w:p>
    <w:p w14:paraId="087AA5D3">
      <w:pPr>
        <w:jc w:val="center"/>
        <w:outlineLvl w:val="0"/>
        <w:rPr>
          <w:rFonts w:ascii="宋体" w:hAnsi="宋体" w:eastAsia="宋体" w:cs="宋体"/>
          <w:b/>
          <w:bCs/>
          <w:sz w:val="30"/>
          <w:szCs w:val="30"/>
          <w:highlight w:val="none"/>
        </w:rPr>
      </w:pPr>
      <w:r>
        <w:rPr>
          <w:rFonts w:hint="eastAsia" w:ascii="宋体" w:hAnsi="宋体" w:eastAsia="宋体" w:cs="宋体"/>
          <w:b/>
          <w:bCs/>
          <w:sz w:val="30"/>
          <w:szCs w:val="30"/>
          <w:highlight w:val="none"/>
        </w:rPr>
        <w:t>四、评分标准</w:t>
      </w:r>
      <w:bookmarkEnd w:id="92"/>
      <w:bookmarkEnd w:id="93"/>
      <w:bookmarkEnd w:id="94"/>
      <w:bookmarkEnd w:id="95"/>
    </w:p>
    <w:p w14:paraId="409B1B5D">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1、本次磋商采用百分制评分法，商务（报价）权重30%，经评审满足磋商文件要求且最后报价最低的供应商的价格为磋商基准价，其价格为满分，得30分。其他供应商的价格分统一按照下列公式计算：</w:t>
      </w:r>
    </w:p>
    <w:p w14:paraId="758F14F1">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磋商报价得分=（磋商基准价/最后磋商报价）×30%×100。</w:t>
      </w:r>
    </w:p>
    <w:p w14:paraId="609257EE">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注：超过最高限价的最后磋商报价为无效报价，按废标处理。</w:t>
      </w:r>
    </w:p>
    <w:p w14:paraId="0082C9E7">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具体评分细则如下：</w:t>
      </w:r>
    </w:p>
    <w:tbl>
      <w:tblPr>
        <w:tblStyle w:val="34"/>
        <w:tblW w:w="10155" w:type="dxa"/>
        <w:jc w:val="center"/>
        <w:tblLayout w:type="fixed"/>
        <w:tblCellMar>
          <w:top w:w="0" w:type="dxa"/>
          <w:left w:w="50" w:type="dxa"/>
          <w:bottom w:w="0" w:type="dxa"/>
          <w:right w:w="50" w:type="dxa"/>
        </w:tblCellMar>
      </w:tblPr>
      <w:tblGrid>
        <w:gridCol w:w="1087"/>
        <w:gridCol w:w="1129"/>
        <w:gridCol w:w="6753"/>
        <w:gridCol w:w="1186"/>
      </w:tblGrid>
      <w:tr w14:paraId="43FF2419">
        <w:tblPrEx>
          <w:tblCellMar>
            <w:top w:w="0" w:type="dxa"/>
            <w:left w:w="50" w:type="dxa"/>
            <w:bottom w:w="0" w:type="dxa"/>
            <w:right w:w="50" w:type="dxa"/>
          </w:tblCellMar>
        </w:tblPrEx>
        <w:trPr>
          <w:trHeight w:val="789" w:hRule="atLeast"/>
          <w:jc w:val="center"/>
        </w:trPr>
        <w:tc>
          <w:tcPr>
            <w:tcW w:w="1087"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BAA0DCF">
            <w:pPr>
              <w:keepNext w:val="0"/>
              <w:keepLines w:val="0"/>
              <w:pageBreakBefore w:val="0"/>
              <w:widowControl w:val="0"/>
              <w:kinsoku/>
              <w:wordWrap/>
              <w:overflowPunct/>
              <w:topLinePunct w:val="0"/>
              <w:autoSpaceDE w:val="0"/>
              <w:autoSpaceDN w:val="0"/>
              <w:bidi w:val="0"/>
              <w:adjustRightInd w:val="0"/>
              <w:spacing w:line="240" w:lineRule="auto"/>
              <w:ind w:firstLine="0" w:firstLineChars="0"/>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类别</w:t>
            </w: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55729FC">
            <w:pPr>
              <w:keepNext w:val="0"/>
              <w:keepLines w:val="0"/>
              <w:pageBreakBefore w:val="0"/>
              <w:widowControl w:val="0"/>
              <w:kinsoku/>
              <w:wordWrap/>
              <w:overflowPunct/>
              <w:topLinePunct w:val="0"/>
              <w:autoSpaceDE w:val="0"/>
              <w:autoSpaceDN w:val="0"/>
              <w:bidi w:val="0"/>
              <w:adjustRightInd w:val="0"/>
              <w:spacing w:line="240" w:lineRule="auto"/>
              <w:ind w:firstLine="0" w:firstLineChars="0"/>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评分内容</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54A81DC2">
            <w:pPr>
              <w:keepNext w:val="0"/>
              <w:keepLines w:val="0"/>
              <w:pageBreakBefore w:val="0"/>
              <w:widowControl w:val="0"/>
              <w:kinsoku/>
              <w:wordWrap/>
              <w:overflowPunct/>
              <w:topLinePunct w:val="0"/>
              <w:autoSpaceDE w:val="0"/>
              <w:autoSpaceDN w:val="0"/>
              <w:bidi w:val="0"/>
              <w:adjustRightInd w:val="0"/>
              <w:spacing w:line="240" w:lineRule="auto"/>
              <w:ind w:firstLine="0" w:firstLineChars="0"/>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评分标准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740FF0A">
            <w:pPr>
              <w:keepNext w:val="0"/>
              <w:keepLines w:val="0"/>
              <w:pageBreakBefore w:val="0"/>
              <w:widowControl w:val="0"/>
              <w:kinsoku/>
              <w:wordWrap/>
              <w:overflowPunct/>
              <w:topLinePunct w:val="0"/>
              <w:autoSpaceDE w:val="0"/>
              <w:autoSpaceDN w:val="0"/>
              <w:bidi w:val="0"/>
              <w:adjustRightInd w:val="0"/>
              <w:spacing w:line="240" w:lineRule="auto"/>
              <w:ind w:firstLine="0" w:firstLineChars="0"/>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分值范围</w:t>
            </w:r>
          </w:p>
        </w:tc>
      </w:tr>
      <w:tr w14:paraId="17C931C0">
        <w:tblPrEx>
          <w:tblCellMar>
            <w:top w:w="0" w:type="dxa"/>
            <w:left w:w="50" w:type="dxa"/>
            <w:bottom w:w="0" w:type="dxa"/>
            <w:right w:w="50" w:type="dxa"/>
          </w:tblCellMar>
        </w:tblPrEx>
        <w:trPr>
          <w:trHeight w:val="1755" w:hRule="atLeast"/>
          <w:jc w:val="center"/>
        </w:trPr>
        <w:tc>
          <w:tcPr>
            <w:tcW w:w="1087" w:type="dxa"/>
            <w:vMerge w:val="restart"/>
            <w:tcBorders>
              <w:top w:val="single" w:color="000000" w:sz="2" w:space="0"/>
              <w:left w:val="single" w:color="000000" w:sz="2" w:space="0"/>
              <w:right w:val="single" w:color="000000" w:sz="2" w:space="0"/>
            </w:tcBorders>
            <w:shd w:val="clear" w:color="000000" w:fill="FFFFFF"/>
            <w:noWrap w:val="0"/>
            <w:vAlign w:val="center"/>
          </w:tcPr>
          <w:p w14:paraId="239A84D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kern w:val="0"/>
                <w:sz w:val="24"/>
                <w:highlight w:val="none"/>
                <w:lang w:val="zh-CN"/>
              </w:rPr>
            </w:pPr>
            <w:r>
              <w:rPr>
                <w:rFonts w:hint="eastAsia" w:ascii="宋体" w:hAnsi="宋体" w:eastAsia="宋体" w:cs="宋体"/>
                <w:kern w:val="0"/>
                <w:sz w:val="24"/>
                <w:highlight w:val="none"/>
                <w:lang w:val="zh-CN"/>
              </w:rPr>
              <w:t>技术标分</w:t>
            </w:r>
          </w:p>
          <w:p w14:paraId="6033E62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kern w:val="0"/>
                <w:sz w:val="24"/>
                <w:highlight w:val="none"/>
                <w:lang w:val="zh-CN"/>
              </w:rPr>
              <w:t>（</w:t>
            </w:r>
            <w:r>
              <w:rPr>
                <w:rFonts w:hint="eastAsia" w:ascii="宋体" w:hAnsi="宋体" w:cs="宋体"/>
                <w:kern w:val="0"/>
                <w:sz w:val="24"/>
                <w:highlight w:val="none"/>
                <w:u w:val="single"/>
                <w:lang w:val="en-US" w:eastAsia="zh-CN"/>
              </w:rPr>
              <w:t>7</w:t>
            </w:r>
            <w:r>
              <w:rPr>
                <w:rFonts w:hint="eastAsia" w:ascii="宋体" w:hAnsi="宋体" w:eastAsia="宋体" w:cs="宋体"/>
                <w:kern w:val="0"/>
                <w:sz w:val="24"/>
                <w:highlight w:val="none"/>
                <w:u w:val="single"/>
                <w:lang w:val="zh-CN"/>
              </w:rPr>
              <w:t>0</w:t>
            </w:r>
            <w:r>
              <w:rPr>
                <w:rFonts w:hint="eastAsia" w:ascii="宋体" w:hAnsi="宋体" w:eastAsia="宋体" w:cs="宋体"/>
                <w:kern w:val="0"/>
                <w:sz w:val="24"/>
                <w:highlight w:val="none"/>
                <w:lang w:val="zh-CN"/>
              </w:rPr>
              <w:t>分）</w:t>
            </w: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E5F1E06">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供应商情况</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09561E4">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0"/>
              <w:jc w:val="left"/>
              <w:textAlignment w:val="auto"/>
              <w:rPr>
                <w:rFonts w:hint="eastAsia" w:ascii="宋体" w:hAnsi="宋体" w:eastAsia="宋体" w:cs="宋体"/>
                <w:kern w:val="0"/>
                <w:sz w:val="24"/>
                <w:highlight w:val="none"/>
              </w:rPr>
            </w:pPr>
            <w:r>
              <w:rPr>
                <w:rFonts w:hint="eastAsia" w:ascii="宋体" w:hAnsi="宋体" w:eastAsia="宋体" w:cs="宋体"/>
                <w:color w:val="000000"/>
                <w:kern w:val="0"/>
                <w:sz w:val="24"/>
                <w:highlight w:val="none"/>
                <w:lang w:val="en-US" w:eastAsia="zh-CN"/>
              </w:rPr>
              <w:t>1、</w:t>
            </w:r>
            <w:r>
              <w:rPr>
                <w:rFonts w:hint="eastAsia" w:ascii="宋体" w:hAnsi="宋体" w:eastAsia="宋体" w:cs="宋体"/>
                <w:color w:val="000000"/>
                <w:kern w:val="0"/>
                <w:sz w:val="24"/>
                <w:highlight w:val="none"/>
                <w:lang w:val="zh-CN"/>
              </w:rPr>
              <w:t>具有劳务派遣经营许可证得</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zh-CN"/>
              </w:rPr>
              <w:t>分</w:t>
            </w:r>
          </w:p>
          <w:p w14:paraId="075BCB6B">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0"/>
              <w:jc w:val="left"/>
              <w:textAlignment w:val="auto"/>
              <w:rPr>
                <w:rFonts w:hint="eastAsia" w:ascii="宋体" w:hAnsi="宋体" w:eastAsia="宋体" w:cs="宋体"/>
                <w:kern w:val="0"/>
                <w:sz w:val="24"/>
                <w:highlight w:val="none"/>
              </w:rPr>
            </w:pP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en-US" w:eastAsia="zh-CN"/>
              </w:rPr>
              <w:t>、</w:t>
            </w:r>
            <w:r>
              <w:rPr>
                <w:rFonts w:hint="eastAsia" w:ascii="宋体" w:hAnsi="宋体" w:eastAsia="宋体" w:cs="宋体"/>
                <w:color w:val="000000"/>
                <w:kern w:val="0"/>
                <w:sz w:val="24"/>
                <w:highlight w:val="none"/>
                <w:lang w:val="zh-CN"/>
              </w:rPr>
              <w:t>具有有效的食品经营许可证得</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zh-CN"/>
              </w:rPr>
              <w:t>分</w:t>
            </w:r>
          </w:p>
          <w:p w14:paraId="5385D059">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cs="宋体"/>
                <w:color w:val="000000"/>
                <w:kern w:val="0"/>
                <w:sz w:val="24"/>
                <w:highlight w:val="none"/>
                <w:lang w:val="en-US" w:eastAsia="zh-CN"/>
              </w:rPr>
              <w:t>3</w:t>
            </w:r>
            <w:r>
              <w:rPr>
                <w:rFonts w:hint="eastAsia" w:ascii="宋体" w:hAnsi="宋体" w:eastAsia="宋体" w:cs="宋体"/>
                <w:color w:val="000000"/>
                <w:kern w:val="0"/>
                <w:sz w:val="24"/>
                <w:highlight w:val="none"/>
                <w:lang w:val="zh-CN"/>
              </w:rPr>
              <w:t>、具有质量管理体系认证书得</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zh-CN"/>
              </w:rPr>
              <w:t>分</w:t>
            </w:r>
          </w:p>
          <w:p w14:paraId="7C6C0C6C">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b/>
                <w:bCs/>
                <w:color w:val="000000"/>
                <w:kern w:val="0"/>
                <w:sz w:val="24"/>
                <w:highlight w:val="none"/>
                <w:lang w:val="zh-CN"/>
              </w:rPr>
              <w:t>注：响应文件中提供证书原件扫描件加盖公章或复印件加盖公章</w:t>
            </w:r>
            <w:r>
              <w:rPr>
                <w:rFonts w:hint="eastAsia" w:ascii="宋体" w:hAnsi="宋体" w:cs="宋体"/>
                <w:b/>
                <w:bCs/>
                <w:color w:val="000000"/>
                <w:kern w:val="0"/>
                <w:sz w:val="24"/>
                <w:highlight w:val="none"/>
                <w:lang w:val="zh-CN"/>
              </w:rPr>
              <w:t>。</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19EF67C9">
            <w:pPr>
              <w:autoSpaceDE w:val="0"/>
              <w:autoSpaceDN w:val="0"/>
              <w:adjustRightInd w:val="0"/>
              <w:spacing w:line="390" w:lineRule="atLeast"/>
              <w:jc w:val="center"/>
              <w:rPr>
                <w:rFonts w:hint="eastAsia"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0-1</w:t>
            </w:r>
            <w:r>
              <w:rPr>
                <w:rFonts w:hint="eastAsia" w:ascii="宋体" w:hAnsi="宋体" w:cs="宋体"/>
                <w:color w:val="000000"/>
                <w:kern w:val="0"/>
                <w:sz w:val="24"/>
                <w:highlight w:val="none"/>
                <w:lang w:val="en-US" w:eastAsia="zh-CN"/>
              </w:rPr>
              <w:t>2</w:t>
            </w:r>
          </w:p>
        </w:tc>
      </w:tr>
      <w:tr w14:paraId="78C36616">
        <w:tblPrEx>
          <w:tblCellMar>
            <w:top w:w="0" w:type="dxa"/>
            <w:left w:w="50" w:type="dxa"/>
            <w:bottom w:w="0" w:type="dxa"/>
            <w:right w:w="50" w:type="dxa"/>
          </w:tblCellMar>
        </w:tblPrEx>
        <w:trPr>
          <w:trHeight w:val="2107"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6879EED2">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18E5498D">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同类项目业绩</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4A1793B">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自20</w:t>
            </w:r>
            <w:r>
              <w:rPr>
                <w:rFonts w:hint="eastAsia" w:ascii="宋体" w:hAnsi="宋体" w:cs="宋体"/>
                <w:color w:val="000000"/>
                <w:kern w:val="0"/>
                <w:sz w:val="24"/>
                <w:highlight w:val="none"/>
                <w:lang w:val="en-US" w:eastAsia="zh-CN"/>
              </w:rPr>
              <w:t>19</w:t>
            </w:r>
            <w:r>
              <w:rPr>
                <w:rFonts w:hint="eastAsia" w:ascii="宋体" w:hAnsi="宋体" w:eastAsia="宋体" w:cs="宋体"/>
                <w:color w:val="000000"/>
                <w:kern w:val="0"/>
                <w:sz w:val="24"/>
                <w:highlight w:val="none"/>
                <w:lang w:val="en-US" w:eastAsia="zh-CN"/>
              </w:rPr>
              <w:t>年</w:t>
            </w:r>
            <w:r>
              <w:rPr>
                <w:rFonts w:hint="eastAsia" w:ascii="宋体" w:hAnsi="宋体" w:cs="宋体"/>
                <w:color w:val="000000"/>
                <w:kern w:val="0"/>
                <w:sz w:val="24"/>
                <w:highlight w:val="none"/>
                <w:lang w:val="en-US" w:eastAsia="zh-CN"/>
              </w:rPr>
              <w:t>8</w:t>
            </w:r>
            <w:r>
              <w:rPr>
                <w:rFonts w:hint="eastAsia" w:ascii="宋体" w:hAnsi="宋体" w:eastAsia="宋体" w:cs="宋体"/>
                <w:color w:val="000000"/>
                <w:kern w:val="0"/>
                <w:sz w:val="24"/>
                <w:highlight w:val="none"/>
                <w:lang w:val="zh-CN"/>
              </w:rPr>
              <w:t>月1日以来</w:t>
            </w:r>
            <w:r>
              <w:rPr>
                <w:rFonts w:hint="eastAsia" w:ascii="宋体" w:hAnsi="宋体" w:cs="宋体"/>
                <w:color w:val="000000"/>
                <w:kern w:val="0"/>
                <w:sz w:val="24"/>
                <w:highlight w:val="none"/>
                <w:lang w:val="en-US" w:eastAsia="zh-CN"/>
              </w:rPr>
              <w:t>有食堂</w:t>
            </w:r>
            <w:r>
              <w:rPr>
                <w:rFonts w:hint="eastAsia" w:ascii="宋体" w:hAnsi="宋体" w:eastAsia="宋体" w:cs="宋体"/>
                <w:color w:val="000000"/>
                <w:kern w:val="0"/>
                <w:sz w:val="24"/>
                <w:highlight w:val="none"/>
                <w:lang w:val="zh-CN"/>
              </w:rPr>
              <w:t>劳务派遣</w:t>
            </w:r>
            <w:r>
              <w:rPr>
                <w:rFonts w:hint="eastAsia" w:ascii="宋体" w:hAnsi="宋体" w:eastAsia="宋体" w:cs="宋体"/>
                <w:color w:val="000000"/>
                <w:kern w:val="0"/>
                <w:sz w:val="24"/>
                <w:highlight w:val="none"/>
                <w:lang w:val="en-US" w:eastAsia="zh-CN"/>
              </w:rPr>
              <w:t>相关</w:t>
            </w:r>
            <w:r>
              <w:rPr>
                <w:rFonts w:hint="eastAsia" w:ascii="宋体" w:hAnsi="宋体" w:eastAsia="宋体" w:cs="宋体"/>
                <w:color w:val="000000"/>
                <w:kern w:val="0"/>
                <w:sz w:val="24"/>
                <w:highlight w:val="none"/>
                <w:lang w:val="zh-CN"/>
              </w:rPr>
              <w:t>业绩，得</w:t>
            </w: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zh-CN"/>
              </w:rPr>
              <w:t>分。每增一个加</w:t>
            </w: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zh-CN"/>
              </w:rPr>
              <w:t>分。满分</w:t>
            </w:r>
            <w:r>
              <w:rPr>
                <w:rFonts w:hint="eastAsia" w:ascii="宋体" w:hAnsi="宋体" w:cs="宋体"/>
                <w:color w:val="000000"/>
                <w:kern w:val="0"/>
                <w:sz w:val="24"/>
                <w:highlight w:val="none"/>
                <w:lang w:val="en-US" w:eastAsia="zh-CN"/>
              </w:rPr>
              <w:t>6</w:t>
            </w:r>
            <w:r>
              <w:rPr>
                <w:rFonts w:hint="eastAsia" w:ascii="宋体" w:hAnsi="宋体" w:eastAsia="宋体" w:cs="宋体"/>
                <w:color w:val="000000"/>
                <w:kern w:val="0"/>
                <w:sz w:val="24"/>
                <w:highlight w:val="none"/>
                <w:lang w:val="zh-CN"/>
              </w:rPr>
              <w:t>分。</w:t>
            </w:r>
          </w:p>
          <w:p w14:paraId="567CB72A">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b/>
                <w:bCs/>
                <w:color w:val="000000"/>
                <w:kern w:val="0"/>
                <w:sz w:val="24"/>
                <w:highlight w:val="none"/>
                <w:lang w:val="zh-CN"/>
              </w:rPr>
              <w:t>注：响应文件中提供</w:t>
            </w:r>
            <w:r>
              <w:rPr>
                <w:rFonts w:hint="eastAsia" w:ascii="宋体" w:hAnsi="宋体" w:cs="宋体"/>
                <w:b/>
                <w:bCs/>
                <w:color w:val="000000"/>
                <w:kern w:val="0"/>
                <w:sz w:val="24"/>
                <w:highlight w:val="none"/>
                <w:lang w:val="en-US" w:eastAsia="zh-CN"/>
              </w:rPr>
              <w:t>中标（成交）通知书及</w:t>
            </w:r>
            <w:r>
              <w:rPr>
                <w:rFonts w:hint="eastAsia" w:ascii="宋体" w:hAnsi="宋体" w:eastAsia="宋体" w:cs="宋体"/>
                <w:b/>
                <w:bCs/>
                <w:color w:val="000000"/>
                <w:kern w:val="0"/>
                <w:sz w:val="24"/>
                <w:highlight w:val="none"/>
                <w:lang w:val="zh-CN"/>
              </w:rPr>
              <w:t>合同关键页（合同封面、合同内容页、签订合同双方的落款盖章、签订日期的关键页及</w:t>
            </w:r>
            <w:r>
              <w:rPr>
                <w:rFonts w:hint="eastAsia" w:ascii="宋体" w:hAnsi="宋体" w:cs="宋体"/>
                <w:b/>
                <w:bCs/>
                <w:color w:val="000000"/>
                <w:kern w:val="0"/>
                <w:sz w:val="24"/>
                <w:highlight w:val="none"/>
                <w:lang w:val="en-US" w:eastAsia="zh-CN"/>
              </w:rPr>
              <w:t>劳务派遣单单位签字盖章</w:t>
            </w:r>
            <w:r>
              <w:rPr>
                <w:rFonts w:hint="eastAsia" w:ascii="宋体" w:hAnsi="宋体" w:eastAsia="宋体" w:cs="宋体"/>
                <w:b/>
                <w:bCs/>
                <w:color w:val="000000"/>
                <w:kern w:val="0"/>
                <w:sz w:val="24"/>
                <w:highlight w:val="none"/>
                <w:lang w:val="zh-CN"/>
              </w:rPr>
              <w:t>），以上证明文件均需加盖供应商公章。</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592F5D68">
            <w:pPr>
              <w:autoSpaceDE w:val="0"/>
              <w:autoSpaceDN w:val="0"/>
              <w:adjustRightInd w:val="0"/>
              <w:spacing w:line="390" w:lineRule="atLeast"/>
              <w:jc w:val="center"/>
              <w:rPr>
                <w:rFonts w:hint="eastAsia"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6</w:t>
            </w:r>
          </w:p>
        </w:tc>
      </w:tr>
      <w:tr w14:paraId="5502E822">
        <w:tblPrEx>
          <w:tblCellMar>
            <w:top w:w="0" w:type="dxa"/>
            <w:left w:w="50" w:type="dxa"/>
            <w:bottom w:w="0" w:type="dxa"/>
            <w:right w:w="50" w:type="dxa"/>
          </w:tblCellMar>
        </w:tblPrEx>
        <w:trPr>
          <w:trHeight w:val="3369"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4B1B078E">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F1D2D66">
            <w:pPr>
              <w:autoSpaceDE w:val="0"/>
              <w:autoSpaceDN w:val="0"/>
              <w:adjustRightInd w:val="0"/>
              <w:spacing w:line="390" w:lineRule="atLeast"/>
              <w:jc w:val="both"/>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餐饮管理</w:t>
            </w:r>
          </w:p>
          <w:p w14:paraId="30F40789">
            <w:pPr>
              <w:autoSpaceDE w:val="0"/>
              <w:autoSpaceDN w:val="0"/>
              <w:adjustRightInd w:val="0"/>
              <w:spacing w:line="390" w:lineRule="atLeast"/>
              <w:jc w:val="center"/>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服务人员</w:t>
            </w:r>
          </w:p>
          <w:p w14:paraId="795BE8F5">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配备方案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8BE3092">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方案须包含服务人员配备原则、组织结构、岗位职责、应急预案等，由磋商小组根据投标供应商制定的食堂餐饮管理服务人员配备方案科学性、合理性、安全性、完整性和承诺的可行性等因素进行评分。</w:t>
            </w:r>
          </w:p>
          <w:p w14:paraId="125F1FFB">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（1）方案全面、科学合理，可行性高、针对性强的，得8-1</w:t>
            </w:r>
            <w:r>
              <w:rPr>
                <w:rFonts w:hint="eastAsia" w:ascii="宋体" w:hAnsi="宋体" w:cs="宋体"/>
                <w:color w:val="000000"/>
                <w:kern w:val="0"/>
                <w:sz w:val="24"/>
                <w:highlight w:val="none"/>
                <w:lang w:val="en-US" w:eastAsia="zh-CN"/>
              </w:rPr>
              <w:t>0</w:t>
            </w:r>
            <w:r>
              <w:rPr>
                <w:rFonts w:hint="eastAsia" w:ascii="宋体" w:hAnsi="宋体" w:eastAsia="宋体" w:cs="宋体"/>
                <w:color w:val="000000"/>
                <w:kern w:val="0"/>
                <w:sz w:val="24"/>
                <w:highlight w:val="none"/>
                <w:lang w:val="zh-CN"/>
              </w:rPr>
              <w:t xml:space="preserve">分； </w:t>
            </w:r>
          </w:p>
          <w:p w14:paraId="4BEEFBA9">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（2）方案较为全面、科学合理，可行性、针对性基本符合要求的，得4-7分；</w:t>
            </w:r>
          </w:p>
          <w:p w14:paraId="731535FF">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（3）方案全面性、合理性一般，可行性一般、针对性一般的，得1-3分；</w:t>
            </w:r>
          </w:p>
          <w:p w14:paraId="51DF4D8F">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（4）未提供任何相关内容的不得分。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8140903">
            <w:pPr>
              <w:autoSpaceDE w:val="0"/>
              <w:autoSpaceDN w:val="0"/>
              <w:adjustRightInd w:val="0"/>
              <w:spacing w:line="390" w:lineRule="atLeast"/>
              <w:jc w:val="center"/>
              <w:rPr>
                <w:rFonts w:hint="default"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10</w:t>
            </w:r>
          </w:p>
        </w:tc>
      </w:tr>
      <w:tr w14:paraId="4BF8C6B7">
        <w:tblPrEx>
          <w:tblCellMar>
            <w:top w:w="0" w:type="dxa"/>
            <w:left w:w="50" w:type="dxa"/>
            <w:bottom w:w="0" w:type="dxa"/>
            <w:right w:w="50" w:type="dxa"/>
          </w:tblCellMar>
        </w:tblPrEx>
        <w:trPr>
          <w:trHeight w:val="428"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490F7D13">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17D39EA2">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食堂操作</w:t>
            </w:r>
          </w:p>
          <w:p w14:paraId="5AA24C95">
            <w:pPr>
              <w:autoSpaceDE w:val="0"/>
              <w:autoSpaceDN w:val="0"/>
              <w:adjustRightInd w:val="0"/>
              <w:spacing w:line="390" w:lineRule="atLeast"/>
              <w:jc w:val="left"/>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规范方案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A4D29F1">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方案须包括培训计划、规范操作控制管理方案、台账管理、员工管理制度等，评标委员会根据投标供应商制定的食堂操作规范方案科学性、合理性、安全性、完整性和承诺的可行性等因素，进行评分。</w:t>
            </w:r>
          </w:p>
          <w:p w14:paraId="6B49D9A0">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（1）方案全面、科学合理，可行性高、针对性强的，得8-1</w:t>
            </w:r>
            <w:r>
              <w:rPr>
                <w:rFonts w:hint="eastAsia" w:ascii="宋体" w:hAnsi="宋体" w:eastAsia="宋体" w:cs="宋体"/>
                <w:color w:val="000000"/>
                <w:kern w:val="0"/>
                <w:sz w:val="24"/>
                <w:highlight w:val="none"/>
                <w:lang w:val="en-US" w:eastAsia="zh-CN"/>
              </w:rPr>
              <w:t>0</w:t>
            </w:r>
            <w:r>
              <w:rPr>
                <w:rFonts w:hint="eastAsia" w:ascii="宋体" w:hAnsi="宋体" w:eastAsia="宋体" w:cs="宋体"/>
                <w:color w:val="000000"/>
                <w:kern w:val="0"/>
                <w:sz w:val="24"/>
                <w:highlight w:val="none"/>
                <w:lang w:val="zh-CN"/>
              </w:rPr>
              <w:t xml:space="preserve">分； </w:t>
            </w:r>
          </w:p>
          <w:p w14:paraId="7B1C43D6">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（2）方案较为全面、科学合理，可行性、针对性基本符合要求的，得4-7分；</w:t>
            </w:r>
          </w:p>
          <w:p w14:paraId="02014A31">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（3）方案全面性、合理性一般，可行性一般、针对性一般的，得1-3分；</w:t>
            </w:r>
          </w:p>
          <w:p w14:paraId="4AE4111D">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（4）未提供任何相关内容的不得分。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7105DF47">
            <w:pPr>
              <w:autoSpaceDE w:val="0"/>
              <w:autoSpaceDN w:val="0"/>
              <w:adjustRightInd w:val="0"/>
              <w:spacing w:line="390" w:lineRule="atLeast"/>
              <w:jc w:val="center"/>
              <w:rPr>
                <w:rFonts w:hint="default"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10</w:t>
            </w:r>
          </w:p>
        </w:tc>
      </w:tr>
      <w:tr w14:paraId="22E22603">
        <w:tblPrEx>
          <w:tblCellMar>
            <w:top w:w="0" w:type="dxa"/>
            <w:left w:w="50" w:type="dxa"/>
            <w:bottom w:w="0" w:type="dxa"/>
            <w:right w:w="50" w:type="dxa"/>
          </w:tblCellMar>
        </w:tblPrEx>
        <w:trPr>
          <w:trHeight w:val="3068"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05E183C6">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9B0D314">
            <w:pPr>
              <w:autoSpaceDE w:val="0"/>
              <w:autoSpaceDN w:val="0"/>
              <w:adjustRightInd w:val="0"/>
              <w:jc w:val="left"/>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用工方案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7FD61145">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方案须包括人员招聘、用工管理、薪酬管理、保险、考核办法等，评标委员会根据投标供应商提供的依法用工方案科学性、合理性、安全性、完整性和承诺的可行性等因素，进行评分。</w:t>
            </w:r>
          </w:p>
          <w:p w14:paraId="0408084D">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（1）方案全面、科学合理，可行性高、针对性强的，得8-1</w:t>
            </w:r>
            <w:r>
              <w:rPr>
                <w:rFonts w:hint="eastAsia" w:ascii="宋体" w:hAnsi="宋体" w:cs="宋体"/>
                <w:color w:val="000000"/>
                <w:kern w:val="0"/>
                <w:sz w:val="24"/>
                <w:highlight w:val="none"/>
                <w:lang w:val="en-US" w:eastAsia="zh-CN"/>
              </w:rPr>
              <w:t>0</w:t>
            </w:r>
            <w:r>
              <w:rPr>
                <w:rFonts w:hint="eastAsia" w:ascii="宋体" w:hAnsi="宋体" w:eastAsia="宋体" w:cs="宋体"/>
                <w:color w:val="000000"/>
                <w:kern w:val="0"/>
                <w:sz w:val="24"/>
                <w:highlight w:val="none"/>
                <w:lang w:val="zh-CN"/>
              </w:rPr>
              <w:t xml:space="preserve">分； </w:t>
            </w:r>
          </w:p>
          <w:p w14:paraId="43625EAE">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（2）方案较为全面、科学合理，可行性、针对性基本符合要求的，得4-7分；</w:t>
            </w:r>
          </w:p>
          <w:p w14:paraId="03C9CF94">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（3）方案全面性、合理性一般，可行性一般、针对性一般的，得1-3分；</w:t>
            </w:r>
          </w:p>
          <w:p w14:paraId="24A7F846">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（4）未提供任何相关内容的不得分。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BA3D667">
            <w:pPr>
              <w:autoSpaceDE w:val="0"/>
              <w:autoSpaceDN w:val="0"/>
              <w:adjustRightInd w:val="0"/>
              <w:spacing w:line="390" w:lineRule="atLeast"/>
              <w:jc w:val="center"/>
              <w:rPr>
                <w:rFonts w:hint="eastAsia"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0-1</w:t>
            </w:r>
            <w:r>
              <w:rPr>
                <w:rFonts w:hint="eastAsia" w:ascii="宋体" w:hAnsi="宋体" w:cs="宋体"/>
                <w:color w:val="000000"/>
                <w:kern w:val="0"/>
                <w:sz w:val="24"/>
                <w:highlight w:val="none"/>
                <w:lang w:val="en-US" w:eastAsia="zh-CN"/>
              </w:rPr>
              <w:t>0</w:t>
            </w:r>
          </w:p>
        </w:tc>
      </w:tr>
      <w:tr w14:paraId="6A51A6CF">
        <w:tblPrEx>
          <w:tblCellMar>
            <w:top w:w="0" w:type="dxa"/>
            <w:left w:w="50" w:type="dxa"/>
            <w:bottom w:w="0" w:type="dxa"/>
            <w:right w:w="50" w:type="dxa"/>
          </w:tblCellMar>
        </w:tblPrEx>
        <w:trPr>
          <w:trHeight w:val="2328"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44BEA97B">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40500B0">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突发事件应急处置方案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DEA4B6E">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根据供应商突发事件（包括但不限于1、食品质量等突发事情的处理方案；2、应急响应时间、人员安排；3、突发情况的物资保障供应；）应急处置方案进行评分：</w:t>
            </w:r>
          </w:p>
          <w:p w14:paraId="76953C90">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1.应急方案具体、合理、符合采购需求得8-11分；</w:t>
            </w:r>
          </w:p>
          <w:p w14:paraId="14A25F57">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2.应急方案较详尽、较符合采购需求得4-7分；</w:t>
            </w:r>
          </w:p>
          <w:p w14:paraId="0402187F">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3.应急方案不够具体、基本可行得1-3分；</w:t>
            </w:r>
          </w:p>
          <w:p w14:paraId="47E708D9">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4.不提供不得分。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A6A5087">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0-11</w:t>
            </w:r>
          </w:p>
        </w:tc>
      </w:tr>
      <w:tr w14:paraId="203E2C84">
        <w:tblPrEx>
          <w:tblCellMar>
            <w:top w:w="0" w:type="dxa"/>
            <w:left w:w="50" w:type="dxa"/>
            <w:bottom w:w="0" w:type="dxa"/>
            <w:right w:w="50" w:type="dxa"/>
          </w:tblCellMar>
        </w:tblPrEx>
        <w:trPr>
          <w:trHeight w:val="3046" w:hRule="atLeast"/>
          <w:jc w:val="center"/>
        </w:trPr>
        <w:tc>
          <w:tcPr>
            <w:tcW w:w="1087" w:type="dxa"/>
            <w:vMerge w:val="continue"/>
            <w:tcBorders>
              <w:left w:val="single" w:color="000000" w:sz="2" w:space="0"/>
              <w:bottom w:val="single" w:color="000000" w:sz="2" w:space="0"/>
              <w:right w:val="single" w:color="000000" w:sz="2" w:space="0"/>
            </w:tcBorders>
            <w:shd w:val="clear" w:color="000000" w:fill="FFFFFF"/>
            <w:noWrap w:val="0"/>
            <w:vAlign w:val="center"/>
          </w:tcPr>
          <w:p w14:paraId="1FB7E387">
            <w:pPr>
              <w:autoSpaceDE w:val="0"/>
              <w:autoSpaceDN w:val="0"/>
              <w:adjustRightInd w:val="0"/>
              <w:spacing w:line="390" w:lineRule="atLeast"/>
              <w:jc w:val="center"/>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CB1FDA3">
            <w:pPr>
              <w:autoSpaceDE w:val="0"/>
              <w:autoSpaceDN w:val="0"/>
              <w:adjustRightInd w:val="0"/>
              <w:jc w:val="left"/>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服务承诺</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3EECBB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cs="宋体"/>
                <w:color w:val="000000"/>
                <w:kern w:val="0"/>
                <w:sz w:val="24"/>
                <w:highlight w:val="none"/>
                <w:lang w:val="en-US" w:eastAsia="zh-CN"/>
              </w:rPr>
              <w:t>1、</w:t>
            </w:r>
            <w:r>
              <w:rPr>
                <w:rFonts w:hint="eastAsia" w:ascii="宋体" w:hAnsi="宋体" w:eastAsia="宋体" w:cs="宋体"/>
                <w:color w:val="000000"/>
                <w:kern w:val="0"/>
                <w:sz w:val="24"/>
                <w:highlight w:val="none"/>
                <w:lang w:val="zh-CN"/>
              </w:rPr>
              <w:t>为保证本项目服务质量和安全，中标单位须承诺食堂运营前为在校用餐人员缴纳食品安全责任险，费用由</w:t>
            </w:r>
            <w:r>
              <w:rPr>
                <w:rFonts w:hint="eastAsia" w:ascii="宋体" w:hAnsi="宋体" w:cs="宋体"/>
                <w:color w:val="000000"/>
                <w:kern w:val="0"/>
                <w:sz w:val="24"/>
                <w:highlight w:val="none"/>
                <w:lang w:val="zh-CN"/>
              </w:rPr>
              <w:t>成交供应商</w:t>
            </w:r>
            <w:r>
              <w:rPr>
                <w:rFonts w:hint="eastAsia" w:ascii="宋体" w:hAnsi="宋体" w:eastAsia="宋体" w:cs="宋体"/>
                <w:color w:val="000000"/>
                <w:kern w:val="0"/>
                <w:sz w:val="24"/>
                <w:highlight w:val="none"/>
                <w:lang w:val="zh-CN"/>
              </w:rPr>
              <w:t>支付。</w:t>
            </w:r>
            <w:r>
              <w:rPr>
                <w:rFonts w:hint="eastAsia" w:ascii="宋体" w:hAnsi="宋体" w:cs="宋体"/>
                <w:color w:val="000000"/>
                <w:kern w:val="0"/>
                <w:sz w:val="24"/>
                <w:highlight w:val="none"/>
                <w:lang w:val="en-US" w:eastAsia="zh-CN"/>
              </w:rPr>
              <w:t>提供</w:t>
            </w:r>
            <w:r>
              <w:rPr>
                <w:rFonts w:hint="eastAsia" w:ascii="宋体" w:hAnsi="宋体" w:eastAsia="宋体" w:cs="宋体"/>
                <w:color w:val="000000"/>
                <w:kern w:val="0"/>
                <w:sz w:val="24"/>
                <w:highlight w:val="none"/>
                <w:lang w:val="zh-CN"/>
              </w:rPr>
              <w:t>此承诺得</w:t>
            </w:r>
            <w:r>
              <w:rPr>
                <w:rFonts w:hint="eastAsia" w:ascii="宋体" w:hAnsi="宋体" w:cs="宋体"/>
                <w:color w:val="000000"/>
                <w:kern w:val="0"/>
                <w:sz w:val="24"/>
                <w:highlight w:val="none"/>
                <w:lang w:val="en-US" w:eastAsia="zh-CN"/>
              </w:rPr>
              <w:t>6</w:t>
            </w:r>
            <w:r>
              <w:rPr>
                <w:rFonts w:hint="eastAsia" w:ascii="宋体" w:hAnsi="宋体" w:eastAsia="宋体" w:cs="宋体"/>
                <w:color w:val="000000"/>
                <w:kern w:val="0"/>
                <w:sz w:val="24"/>
                <w:highlight w:val="none"/>
                <w:lang w:val="zh-CN"/>
              </w:rPr>
              <w:t>分。</w:t>
            </w:r>
          </w:p>
          <w:p w14:paraId="39BACB9C">
            <w:pPr>
              <w:keepNext w:val="0"/>
              <w:keepLines w:val="0"/>
              <w:pageBreakBefore w:val="0"/>
              <w:widowControl w:val="0"/>
              <w:numPr>
                <w:ilvl w:val="0"/>
                <w:numId w:val="0"/>
              </w:numPr>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zh-CN"/>
              </w:rPr>
              <w:t>为保证本项目服务质量和安全，中标单位须承诺食堂运营前为服务人员上岗前提供医学健康体检报告、且购买雇主责任险并保证本项目拟任的项目负责人、项目班子组成其他人员必须包含在雇主责任险清单明细内，有此承诺得</w:t>
            </w:r>
            <w:r>
              <w:rPr>
                <w:rFonts w:hint="eastAsia" w:ascii="宋体" w:hAnsi="宋体" w:cs="宋体"/>
                <w:color w:val="000000"/>
                <w:kern w:val="0"/>
                <w:sz w:val="24"/>
                <w:highlight w:val="none"/>
                <w:lang w:val="en-US" w:eastAsia="zh-CN"/>
              </w:rPr>
              <w:t>5</w:t>
            </w:r>
            <w:r>
              <w:rPr>
                <w:rFonts w:hint="eastAsia" w:ascii="宋体" w:hAnsi="宋体" w:eastAsia="宋体" w:cs="宋体"/>
                <w:color w:val="000000"/>
                <w:kern w:val="0"/>
                <w:sz w:val="24"/>
                <w:highlight w:val="none"/>
                <w:lang w:val="zh-CN"/>
              </w:rPr>
              <w:t>分。</w:t>
            </w:r>
          </w:p>
          <w:p w14:paraId="7AB72E86">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注</w:t>
            </w:r>
            <w:r>
              <w:rPr>
                <w:rFonts w:hint="eastAsia" w:ascii="宋体" w:hAnsi="宋体" w:cs="宋体"/>
                <w:color w:val="000000"/>
                <w:kern w:val="0"/>
                <w:sz w:val="24"/>
                <w:highlight w:val="none"/>
                <w:lang w:val="zh-CN"/>
              </w:rPr>
              <w:t>：</w:t>
            </w:r>
            <w:r>
              <w:rPr>
                <w:rFonts w:hint="eastAsia" w:ascii="宋体" w:hAnsi="宋体" w:eastAsia="宋体" w:cs="宋体"/>
                <w:color w:val="000000"/>
                <w:kern w:val="0"/>
                <w:sz w:val="24"/>
                <w:highlight w:val="none"/>
                <w:lang w:val="zh-CN"/>
              </w:rPr>
              <w:t>（无此承诺或承诺不完整的不得分，响应文件中须提供单页承诺并加盖供应商公章）。</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1DF658F">
            <w:pPr>
              <w:autoSpaceDE w:val="0"/>
              <w:autoSpaceDN w:val="0"/>
              <w:adjustRightInd w:val="0"/>
              <w:spacing w:line="390" w:lineRule="atLeast"/>
              <w:jc w:val="center"/>
              <w:rPr>
                <w:rFonts w:hint="default"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11</w:t>
            </w:r>
          </w:p>
        </w:tc>
      </w:tr>
      <w:tr w14:paraId="3ADFF656">
        <w:tblPrEx>
          <w:tblCellMar>
            <w:top w:w="0" w:type="dxa"/>
            <w:left w:w="50" w:type="dxa"/>
            <w:bottom w:w="0" w:type="dxa"/>
            <w:right w:w="50" w:type="dxa"/>
          </w:tblCellMar>
        </w:tblPrEx>
        <w:trPr>
          <w:trHeight w:val="2102" w:hRule="atLeast"/>
          <w:jc w:val="center"/>
        </w:trPr>
        <w:tc>
          <w:tcPr>
            <w:tcW w:w="2216" w:type="dxa"/>
            <w:gridSpan w:val="2"/>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73E9B583">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kern w:val="0"/>
                <w:sz w:val="24"/>
                <w:highlight w:val="none"/>
                <w:lang w:val="zh-CN"/>
              </w:rPr>
              <w:t>价格分（</w:t>
            </w:r>
            <w:r>
              <w:rPr>
                <w:rFonts w:hint="eastAsia" w:ascii="宋体" w:hAnsi="宋体" w:cs="宋体"/>
                <w:kern w:val="0"/>
                <w:sz w:val="24"/>
                <w:highlight w:val="none"/>
                <w:u w:val="single"/>
                <w:lang w:val="en-US" w:eastAsia="zh-CN"/>
              </w:rPr>
              <w:t>3</w:t>
            </w:r>
            <w:r>
              <w:rPr>
                <w:rFonts w:hint="eastAsia" w:ascii="宋体" w:hAnsi="宋体" w:eastAsia="宋体" w:cs="宋体"/>
                <w:kern w:val="0"/>
                <w:sz w:val="24"/>
                <w:highlight w:val="none"/>
                <w:u w:val="single"/>
                <w:lang w:val="zh-CN"/>
              </w:rPr>
              <w:t>0</w:t>
            </w:r>
            <w:r>
              <w:rPr>
                <w:rFonts w:hint="eastAsia" w:ascii="宋体" w:hAnsi="宋体" w:eastAsia="宋体" w:cs="宋体"/>
                <w:kern w:val="0"/>
                <w:sz w:val="24"/>
                <w:highlight w:val="none"/>
                <w:lang w:val="zh-CN"/>
              </w:rPr>
              <w:t>分）</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91DFB1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价格分统一采用低价优先法，即满足磋商文件要求且最终报价最低的价格作为评标基准价，其价格分为满分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0分。其他磋商供应商的价格分统一按照下列公式计算（四舍五入保留至小数点后两位数）：</w:t>
            </w:r>
          </w:p>
          <w:p w14:paraId="006F3B53">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kern w:val="0"/>
                <w:sz w:val="22"/>
                <w:szCs w:val="22"/>
                <w:highlight w:val="none"/>
                <w:lang w:val="zh-CN"/>
              </w:rPr>
            </w:pPr>
            <w:r>
              <w:rPr>
                <w:rFonts w:hint="eastAsia" w:ascii="宋体" w:hAnsi="宋体" w:eastAsia="宋体" w:cs="宋体"/>
                <w:sz w:val="24"/>
                <w:szCs w:val="24"/>
                <w:highlight w:val="none"/>
              </w:rPr>
              <w:t>磋商报价得分＝（评标基准价/磋商报价）×</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0%×100</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BC5BDCD">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3</w:t>
            </w:r>
            <w:r>
              <w:rPr>
                <w:rFonts w:hint="eastAsia" w:ascii="宋体" w:hAnsi="宋体" w:eastAsia="宋体" w:cs="宋体"/>
                <w:color w:val="000000"/>
                <w:kern w:val="0"/>
                <w:sz w:val="24"/>
                <w:highlight w:val="none"/>
                <w:lang w:val="zh-CN"/>
              </w:rPr>
              <w:t>0</w:t>
            </w:r>
          </w:p>
        </w:tc>
      </w:tr>
    </w:tbl>
    <w:p w14:paraId="06401801">
      <w:pPr>
        <w:keepNext w:val="0"/>
        <w:keepLines w:val="0"/>
        <w:pageBreakBefore w:val="0"/>
        <w:widowControl w:val="0"/>
        <w:kinsoku/>
        <w:wordWrap/>
        <w:overflowPunct/>
        <w:topLinePunct w:val="0"/>
        <w:autoSpaceDE/>
        <w:autoSpaceDN/>
        <w:bidi w:val="0"/>
        <w:adjustRightInd w:val="0"/>
        <w:snapToGrid w:val="0"/>
        <w:spacing w:before="157" w:beforeLines="50" w:line="360" w:lineRule="auto"/>
        <w:ind w:right="0" w:firstLine="480" w:firstLineChars="200"/>
        <w:textAlignment w:val="auto"/>
        <w:rPr>
          <w:rFonts w:ascii="宋体" w:hAnsi="宋体" w:cs="宋体"/>
          <w:sz w:val="24"/>
          <w:szCs w:val="24"/>
          <w:highlight w:val="none"/>
        </w:rPr>
      </w:pPr>
      <w:r>
        <w:rPr>
          <w:rFonts w:hint="eastAsia" w:ascii="宋体" w:hAnsi="宋体" w:cs="宋体"/>
          <w:sz w:val="24"/>
          <w:szCs w:val="24"/>
          <w:highlight w:val="none"/>
        </w:rPr>
        <w:t>2、技术标分汇总方法：对某一供应商的技术标的每一个指标项得分，取各位评委评分之平均值，四舍五入保留至小数点后两位数，得到该供应商该指标项的得分。再将供应商每个技术标的指标项得分进行汇总，得到该供应商的技术标分之和。</w:t>
      </w:r>
    </w:p>
    <w:p w14:paraId="50372224">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3、得分汇总</w:t>
      </w:r>
    </w:p>
    <w:p w14:paraId="16FA27ED">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（1）将每个有效磋商供应商的技术标分之和加上根据上述标准计算出的价格分，即为该磋商供应商的综合总得分。</w:t>
      </w:r>
    </w:p>
    <w:p w14:paraId="24144CE0">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highlight w:val="none"/>
        </w:rPr>
      </w:pPr>
      <w:r>
        <w:rPr>
          <w:rFonts w:hint="eastAsia" w:ascii="宋体" w:hAnsi="宋体" w:cs="宋体"/>
          <w:sz w:val="24"/>
          <w:szCs w:val="24"/>
          <w:highlight w:val="none"/>
        </w:rPr>
        <w:t>（2）按照有效磋商供应商综合总得分由高到低依次排出成交供应商及成交候选供应商。</w:t>
      </w:r>
    </w:p>
    <w:p w14:paraId="3753443E">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cs="宋体"/>
          <w:sz w:val="24"/>
          <w:szCs w:val="24"/>
          <w:highlight w:val="none"/>
        </w:rPr>
      </w:pPr>
      <w:r>
        <w:rPr>
          <w:rFonts w:hint="eastAsia" w:ascii="宋体" w:hAnsi="宋体" w:cs="宋体"/>
          <w:sz w:val="24"/>
          <w:szCs w:val="24"/>
          <w:highlight w:val="none"/>
        </w:rPr>
        <w:t>2、技术标分汇总方法：对某一供应商的技术标的每一个指标项得分，取各位评委评分之平均值，四舍五入保留至小数点后两位数，得到该供应商该指标项的得分。再将供应商每个技术标的指标项得分进行汇总，得到该供应商的技术标分之和。</w:t>
      </w:r>
    </w:p>
    <w:p w14:paraId="095E0286">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3、得分汇总</w:t>
      </w:r>
    </w:p>
    <w:p w14:paraId="1DE3132E">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（1）将每个有效磋商供应商的技术标分之和加上根据上述标准计算出的价格分，即为该磋商供应商的综合总得分。</w:t>
      </w:r>
    </w:p>
    <w:p w14:paraId="314E655A">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ascii="宋体" w:hAnsi="宋体" w:cs="宋体"/>
          <w:highlight w:val="none"/>
        </w:rPr>
      </w:pPr>
      <w:r>
        <w:rPr>
          <w:rFonts w:hint="eastAsia" w:ascii="宋体" w:hAnsi="宋体" w:cs="宋体"/>
          <w:sz w:val="24"/>
          <w:szCs w:val="24"/>
          <w:highlight w:val="none"/>
        </w:rPr>
        <w:t>（2）按照有效磋商供应商综合总得分由高到低依次排出成交供应商及成交候选供应商。</w:t>
      </w:r>
    </w:p>
    <w:p w14:paraId="749F6E12">
      <w:pPr>
        <w:pStyle w:val="2"/>
        <w:spacing w:before="156" w:beforeLines="50" w:after="156" w:afterLines="50" w:line="560" w:lineRule="exact"/>
        <w:jc w:val="center"/>
        <w:outlineLvl w:val="0"/>
        <w:rPr>
          <w:rFonts w:ascii="宋体" w:hAnsi="宋体" w:eastAsia="宋体" w:cs="宋体"/>
          <w:sz w:val="28"/>
          <w:szCs w:val="28"/>
          <w:highlight w:val="none"/>
        </w:rPr>
      </w:pPr>
      <w:bookmarkStart w:id="100" w:name="_Toc5553"/>
      <w:bookmarkStart w:id="101" w:name="_Toc14458"/>
      <w:r>
        <w:rPr>
          <w:rFonts w:hint="eastAsia" w:ascii="宋体" w:hAnsi="宋体" w:eastAsia="宋体" w:cs="宋体"/>
          <w:sz w:val="28"/>
          <w:szCs w:val="28"/>
          <w:highlight w:val="none"/>
        </w:rPr>
        <w:br w:type="page"/>
      </w:r>
      <w:bookmarkStart w:id="102" w:name="_Toc8088"/>
      <w:bookmarkStart w:id="103" w:name="_Toc21797"/>
      <w:r>
        <w:rPr>
          <w:rFonts w:hint="eastAsia" w:ascii="宋体" w:hAnsi="宋体" w:eastAsia="宋体" w:cs="宋体"/>
          <w:sz w:val="30"/>
          <w:szCs w:val="30"/>
          <w:highlight w:val="none"/>
        </w:rPr>
        <w:t>五、响应文件格式</w:t>
      </w:r>
      <w:bookmarkEnd w:id="100"/>
      <w:bookmarkEnd w:id="101"/>
      <w:bookmarkEnd w:id="102"/>
      <w:bookmarkEnd w:id="103"/>
    </w:p>
    <w:p w14:paraId="6F0BF7C8">
      <w:pPr>
        <w:spacing w:line="500" w:lineRule="exact"/>
        <w:jc w:val="center"/>
        <w:rPr>
          <w:rFonts w:ascii="宋体" w:hAnsi="宋体" w:cs="宋体"/>
          <w:b/>
          <w:sz w:val="32"/>
          <w:highlight w:val="none"/>
        </w:rPr>
      </w:pPr>
    </w:p>
    <w:p w14:paraId="03107CCB">
      <w:pPr>
        <w:spacing w:line="500" w:lineRule="exact"/>
        <w:jc w:val="center"/>
        <w:outlineLvl w:val="9"/>
        <w:rPr>
          <w:rFonts w:ascii="宋体" w:hAnsi="宋体" w:cs="宋体"/>
          <w:b/>
          <w:sz w:val="32"/>
          <w:highlight w:val="none"/>
        </w:rPr>
      </w:pPr>
      <w:r>
        <w:rPr>
          <w:rFonts w:hint="eastAsia" w:ascii="宋体" w:hAnsi="宋体" w:cs="宋体"/>
          <w:b/>
          <w:sz w:val="32"/>
          <w:highlight w:val="none"/>
          <w:u w:val="single"/>
        </w:rPr>
        <w:t>　　　　　　　　　</w:t>
      </w:r>
      <w:bookmarkStart w:id="104" w:name="_Toc4448"/>
      <w:bookmarkStart w:id="105" w:name="_Toc22685"/>
      <w:r>
        <w:rPr>
          <w:rFonts w:hint="eastAsia" w:ascii="宋体" w:hAnsi="宋体" w:cs="宋体"/>
          <w:b/>
          <w:sz w:val="32"/>
          <w:highlight w:val="none"/>
        </w:rPr>
        <w:t>项目</w:t>
      </w:r>
      <w:bookmarkEnd w:id="104"/>
      <w:bookmarkEnd w:id="105"/>
    </w:p>
    <w:p w14:paraId="542C1163">
      <w:pPr>
        <w:spacing w:line="900" w:lineRule="exact"/>
        <w:rPr>
          <w:rFonts w:ascii="宋体" w:hAnsi="宋体" w:cs="宋体"/>
          <w:b/>
          <w:sz w:val="72"/>
          <w:highlight w:val="none"/>
        </w:rPr>
      </w:pPr>
    </w:p>
    <w:p w14:paraId="5F6127B0">
      <w:pPr>
        <w:spacing w:line="900" w:lineRule="exact"/>
        <w:jc w:val="center"/>
        <w:rPr>
          <w:rFonts w:ascii="宋体" w:hAnsi="宋体" w:cs="宋体"/>
          <w:b/>
          <w:sz w:val="72"/>
          <w:highlight w:val="none"/>
        </w:rPr>
      </w:pPr>
      <w:r>
        <w:rPr>
          <w:rFonts w:hint="eastAsia" w:ascii="宋体" w:hAnsi="宋体" w:cs="宋体"/>
          <w:b/>
          <w:sz w:val="72"/>
          <w:highlight w:val="none"/>
        </w:rPr>
        <w:t>响</w:t>
      </w:r>
    </w:p>
    <w:p w14:paraId="67CE9CDE">
      <w:pPr>
        <w:spacing w:line="900" w:lineRule="exact"/>
        <w:jc w:val="center"/>
        <w:rPr>
          <w:rFonts w:ascii="宋体" w:hAnsi="宋体" w:cs="宋体"/>
          <w:b/>
          <w:sz w:val="72"/>
          <w:highlight w:val="none"/>
        </w:rPr>
      </w:pPr>
    </w:p>
    <w:p w14:paraId="5F6D9CB2">
      <w:pPr>
        <w:spacing w:line="900" w:lineRule="exact"/>
        <w:jc w:val="center"/>
        <w:rPr>
          <w:rFonts w:ascii="宋体" w:hAnsi="宋体" w:cs="宋体"/>
          <w:b/>
          <w:sz w:val="72"/>
          <w:highlight w:val="none"/>
        </w:rPr>
      </w:pPr>
      <w:r>
        <w:rPr>
          <w:rFonts w:hint="eastAsia" w:ascii="宋体" w:hAnsi="宋体" w:cs="宋体"/>
          <w:b/>
          <w:sz w:val="72"/>
          <w:highlight w:val="none"/>
        </w:rPr>
        <w:t>应</w:t>
      </w:r>
    </w:p>
    <w:p w14:paraId="59BCC66E">
      <w:pPr>
        <w:spacing w:line="900" w:lineRule="exact"/>
        <w:jc w:val="center"/>
        <w:rPr>
          <w:rFonts w:ascii="宋体" w:hAnsi="宋体" w:cs="宋体"/>
          <w:b/>
          <w:sz w:val="72"/>
          <w:highlight w:val="none"/>
        </w:rPr>
      </w:pPr>
    </w:p>
    <w:p w14:paraId="1B8420A8">
      <w:pPr>
        <w:spacing w:line="900" w:lineRule="exact"/>
        <w:jc w:val="center"/>
        <w:rPr>
          <w:rFonts w:ascii="宋体" w:hAnsi="宋体" w:cs="宋体"/>
          <w:b/>
          <w:sz w:val="72"/>
          <w:highlight w:val="none"/>
        </w:rPr>
      </w:pPr>
      <w:r>
        <w:rPr>
          <w:rFonts w:hint="eastAsia" w:ascii="宋体" w:hAnsi="宋体" w:cs="宋体"/>
          <w:b/>
          <w:sz w:val="72"/>
          <w:highlight w:val="none"/>
        </w:rPr>
        <w:t>文</w:t>
      </w:r>
    </w:p>
    <w:p w14:paraId="3D537B06">
      <w:pPr>
        <w:spacing w:line="900" w:lineRule="exact"/>
        <w:jc w:val="center"/>
        <w:rPr>
          <w:rFonts w:ascii="宋体" w:hAnsi="宋体" w:cs="宋体"/>
          <w:b/>
          <w:sz w:val="72"/>
          <w:highlight w:val="none"/>
        </w:rPr>
      </w:pPr>
    </w:p>
    <w:p w14:paraId="67DD2340">
      <w:pPr>
        <w:jc w:val="center"/>
        <w:rPr>
          <w:rFonts w:ascii="宋体" w:hAnsi="宋体" w:cs="宋体"/>
          <w:b/>
          <w:sz w:val="72"/>
          <w:highlight w:val="none"/>
        </w:rPr>
      </w:pPr>
      <w:r>
        <w:rPr>
          <w:rFonts w:hint="eastAsia" w:ascii="宋体" w:hAnsi="宋体" w:cs="宋体"/>
          <w:b/>
          <w:sz w:val="72"/>
          <w:highlight w:val="none"/>
        </w:rPr>
        <w:t>件</w:t>
      </w:r>
    </w:p>
    <w:p w14:paraId="60B0A25F">
      <w:pPr>
        <w:spacing w:after="156" w:afterLines="50"/>
        <w:jc w:val="center"/>
        <w:rPr>
          <w:rFonts w:ascii="宋体" w:hAnsi="宋体" w:cs="宋体"/>
          <w:b/>
          <w:sz w:val="72"/>
          <w:highlight w:val="none"/>
        </w:rPr>
      </w:pPr>
    </w:p>
    <w:p w14:paraId="069D50B0">
      <w:pPr>
        <w:spacing w:after="156" w:afterLines="50" w:line="500" w:lineRule="exact"/>
        <w:jc w:val="center"/>
        <w:rPr>
          <w:rFonts w:ascii="宋体" w:hAnsi="宋体" w:cs="宋体"/>
          <w:b/>
          <w:sz w:val="30"/>
          <w:szCs w:val="30"/>
          <w:highlight w:val="none"/>
        </w:rPr>
      </w:pPr>
      <w:r>
        <w:rPr>
          <w:rFonts w:hint="eastAsia" w:ascii="宋体" w:hAnsi="宋体" w:cs="宋体"/>
          <w:b/>
          <w:sz w:val="30"/>
          <w:szCs w:val="30"/>
          <w:highlight w:val="none"/>
        </w:rPr>
        <w:t>第</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包</w:t>
      </w:r>
    </w:p>
    <w:p w14:paraId="5ED124E9">
      <w:pPr>
        <w:spacing w:after="156" w:afterLines="50" w:line="500" w:lineRule="exact"/>
        <w:jc w:val="center"/>
        <w:rPr>
          <w:rFonts w:ascii="宋体" w:hAnsi="宋体" w:cs="宋体"/>
          <w:b/>
          <w:sz w:val="72"/>
          <w:highlight w:val="none"/>
        </w:rPr>
      </w:pPr>
    </w:p>
    <w:p w14:paraId="56ED3711">
      <w:pPr>
        <w:spacing w:after="156" w:afterLines="50" w:line="500" w:lineRule="exact"/>
        <w:ind w:firstLine="2088" w:firstLineChars="650"/>
        <w:rPr>
          <w:rFonts w:ascii="宋体" w:hAnsi="宋体" w:cs="宋体"/>
          <w:b/>
          <w:sz w:val="32"/>
          <w:highlight w:val="none"/>
          <w:u w:val="single"/>
        </w:rPr>
      </w:pPr>
      <w:r>
        <w:rPr>
          <w:rFonts w:hint="eastAsia" w:ascii="宋体" w:hAnsi="宋体" w:cs="宋体"/>
          <w:b/>
          <w:sz w:val="32"/>
          <w:highlight w:val="none"/>
        </w:rPr>
        <w:t>供应商：</w:t>
      </w:r>
    </w:p>
    <w:p w14:paraId="0E39141B">
      <w:pPr>
        <w:spacing w:after="156" w:afterLines="50" w:line="500" w:lineRule="exact"/>
        <w:ind w:firstLine="2088" w:firstLineChars="650"/>
        <w:outlineLvl w:val="9"/>
        <w:rPr>
          <w:rFonts w:ascii="宋体" w:hAnsi="宋体" w:cs="宋体"/>
          <w:sz w:val="24"/>
          <w:szCs w:val="28"/>
          <w:highlight w:val="none"/>
        </w:rPr>
      </w:pPr>
      <w:bookmarkStart w:id="106" w:name="_Toc4670"/>
      <w:bookmarkStart w:id="107" w:name="_Toc5792"/>
      <w:r>
        <w:rPr>
          <w:rFonts w:hint="eastAsia" w:ascii="宋体" w:hAnsi="宋体" w:cs="宋体"/>
          <w:b/>
          <w:sz w:val="32"/>
          <w:highlight w:val="none"/>
        </w:rPr>
        <w:t>年  月  日</w:t>
      </w:r>
      <w:bookmarkEnd w:id="106"/>
      <w:bookmarkEnd w:id="107"/>
    </w:p>
    <w:p w14:paraId="763B8393">
      <w:pPr>
        <w:pStyle w:val="3"/>
        <w:spacing w:before="156" w:beforeLines="50" w:after="156" w:afterLines="50" w:line="560" w:lineRule="exact"/>
        <w:jc w:val="center"/>
        <w:rPr>
          <w:rFonts w:ascii="宋体" w:hAnsi="宋体" w:eastAsia="宋体" w:cs="宋体"/>
          <w:sz w:val="24"/>
          <w:szCs w:val="24"/>
          <w:highlight w:val="none"/>
        </w:rPr>
      </w:pPr>
      <w:bookmarkStart w:id="108" w:name="_Toc20663"/>
      <w:r>
        <w:rPr>
          <w:rFonts w:hint="eastAsia" w:ascii="宋体" w:hAnsi="宋体" w:eastAsia="宋体" w:cs="宋体"/>
          <w:sz w:val="24"/>
          <w:szCs w:val="24"/>
          <w:highlight w:val="none"/>
        </w:rPr>
        <w:br w:type="page"/>
      </w:r>
      <w:bookmarkStart w:id="109" w:name="_Toc2602"/>
      <w:r>
        <w:rPr>
          <w:rFonts w:hint="eastAsia" w:ascii="宋体" w:hAnsi="宋体" w:eastAsia="宋体" w:cs="宋体"/>
          <w:sz w:val="24"/>
          <w:szCs w:val="24"/>
          <w:highlight w:val="none"/>
        </w:rPr>
        <w:t>响应文件资料清单</w:t>
      </w:r>
      <w:bookmarkEnd w:id="108"/>
      <w:bookmarkEnd w:id="109"/>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54B9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2D894768">
            <w:pPr>
              <w:spacing w:line="440" w:lineRule="exact"/>
              <w:jc w:val="center"/>
              <w:rPr>
                <w:rFonts w:ascii="宋体" w:hAnsi="宋体" w:cs="宋体"/>
                <w:b/>
                <w:sz w:val="24"/>
                <w:highlight w:val="none"/>
              </w:rPr>
            </w:pPr>
            <w:r>
              <w:rPr>
                <w:rFonts w:hint="eastAsia" w:ascii="宋体" w:hAnsi="宋体" w:cs="宋体"/>
                <w:b/>
                <w:sz w:val="24"/>
                <w:highlight w:val="none"/>
              </w:rPr>
              <w:t>序号</w:t>
            </w:r>
          </w:p>
        </w:tc>
        <w:tc>
          <w:tcPr>
            <w:tcW w:w="6038" w:type="dxa"/>
            <w:vAlign w:val="center"/>
          </w:tcPr>
          <w:p w14:paraId="66FED198">
            <w:pPr>
              <w:spacing w:line="440" w:lineRule="exact"/>
              <w:jc w:val="center"/>
              <w:rPr>
                <w:rFonts w:ascii="宋体" w:hAnsi="宋体" w:cs="宋体"/>
                <w:b/>
                <w:sz w:val="24"/>
                <w:highlight w:val="none"/>
              </w:rPr>
            </w:pPr>
            <w:r>
              <w:rPr>
                <w:rFonts w:hint="eastAsia" w:ascii="宋体" w:hAnsi="宋体" w:cs="宋体"/>
                <w:b/>
                <w:sz w:val="24"/>
                <w:highlight w:val="none"/>
              </w:rPr>
              <w:t>资料名称</w:t>
            </w:r>
          </w:p>
        </w:tc>
        <w:tc>
          <w:tcPr>
            <w:tcW w:w="1417" w:type="dxa"/>
            <w:vAlign w:val="center"/>
          </w:tcPr>
          <w:p w14:paraId="3BA57D3B">
            <w:pPr>
              <w:spacing w:line="440" w:lineRule="exact"/>
              <w:jc w:val="center"/>
              <w:rPr>
                <w:rFonts w:ascii="宋体" w:hAnsi="宋体" w:cs="宋体"/>
                <w:b/>
                <w:sz w:val="24"/>
                <w:highlight w:val="none"/>
              </w:rPr>
            </w:pPr>
            <w:r>
              <w:rPr>
                <w:rFonts w:hint="eastAsia" w:ascii="宋体" w:hAnsi="宋体" w:cs="宋体"/>
                <w:b/>
                <w:sz w:val="24"/>
                <w:highlight w:val="none"/>
              </w:rPr>
              <w:t>备注</w:t>
            </w:r>
          </w:p>
        </w:tc>
      </w:tr>
      <w:tr w14:paraId="6395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6A5DEA33">
            <w:pPr>
              <w:spacing w:line="440" w:lineRule="exact"/>
              <w:jc w:val="center"/>
              <w:rPr>
                <w:rFonts w:ascii="宋体" w:hAnsi="宋体" w:cs="宋体"/>
                <w:sz w:val="24"/>
                <w:highlight w:val="none"/>
              </w:rPr>
            </w:pPr>
            <w:r>
              <w:rPr>
                <w:rFonts w:hint="eastAsia" w:ascii="宋体" w:hAnsi="宋体" w:cs="宋体"/>
                <w:sz w:val="24"/>
                <w:highlight w:val="none"/>
              </w:rPr>
              <w:t>一</w:t>
            </w:r>
          </w:p>
        </w:tc>
        <w:tc>
          <w:tcPr>
            <w:tcW w:w="6038" w:type="dxa"/>
            <w:vAlign w:val="center"/>
          </w:tcPr>
          <w:p w14:paraId="16FB8372">
            <w:pPr>
              <w:spacing w:line="440" w:lineRule="exact"/>
              <w:rPr>
                <w:rFonts w:ascii="宋体" w:hAnsi="宋体" w:cs="宋体"/>
                <w:sz w:val="24"/>
                <w:highlight w:val="none"/>
              </w:rPr>
            </w:pPr>
            <w:r>
              <w:rPr>
                <w:rFonts w:hint="eastAsia" w:ascii="宋体" w:hAnsi="宋体" w:cs="宋体"/>
                <w:sz w:val="24"/>
                <w:szCs w:val="24"/>
                <w:highlight w:val="none"/>
              </w:rPr>
              <w:t>报价单</w:t>
            </w:r>
          </w:p>
        </w:tc>
        <w:tc>
          <w:tcPr>
            <w:tcW w:w="1417" w:type="dxa"/>
            <w:vAlign w:val="center"/>
          </w:tcPr>
          <w:p w14:paraId="271F4912">
            <w:pPr>
              <w:spacing w:line="440" w:lineRule="exact"/>
              <w:jc w:val="center"/>
              <w:rPr>
                <w:rFonts w:ascii="宋体" w:hAnsi="宋体" w:cs="宋体"/>
                <w:b/>
                <w:sz w:val="24"/>
                <w:highlight w:val="none"/>
              </w:rPr>
            </w:pPr>
          </w:p>
        </w:tc>
      </w:tr>
      <w:tr w14:paraId="5F87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5C846F8C">
            <w:pPr>
              <w:spacing w:line="440" w:lineRule="exact"/>
              <w:jc w:val="center"/>
              <w:rPr>
                <w:rFonts w:ascii="宋体" w:hAnsi="宋体" w:cs="宋体"/>
                <w:sz w:val="24"/>
                <w:highlight w:val="none"/>
              </w:rPr>
            </w:pPr>
            <w:r>
              <w:rPr>
                <w:rFonts w:hint="eastAsia" w:ascii="宋体" w:hAnsi="宋体" w:cs="宋体"/>
                <w:sz w:val="24"/>
                <w:highlight w:val="none"/>
              </w:rPr>
              <w:t>二</w:t>
            </w:r>
          </w:p>
        </w:tc>
        <w:tc>
          <w:tcPr>
            <w:tcW w:w="6038" w:type="dxa"/>
            <w:vAlign w:val="center"/>
          </w:tcPr>
          <w:p w14:paraId="663F2C03">
            <w:pPr>
              <w:spacing w:line="440" w:lineRule="exact"/>
              <w:rPr>
                <w:rFonts w:ascii="宋体" w:hAnsi="宋体" w:cs="宋体"/>
                <w:sz w:val="24"/>
                <w:highlight w:val="none"/>
              </w:rPr>
            </w:pPr>
            <w:r>
              <w:rPr>
                <w:rFonts w:hint="eastAsia" w:ascii="宋体" w:hAnsi="宋体" w:cs="宋体"/>
                <w:sz w:val="24"/>
                <w:highlight w:val="none"/>
              </w:rPr>
              <w:t>供应商基本信息</w:t>
            </w:r>
          </w:p>
        </w:tc>
        <w:tc>
          <w:tcPr>
            <w:tcW w:w="1417" w:type="dxa"/>
            <w:vAlign w:val="center"/>
          </w:tcPr>
          <w:p w14:paraId="6CE9C994">
            <w:pPr>
              <w:spacing w:line="440" w:lineRule="exact"/>
              <w:jc w:val="center"/>
              <w:rPr>
                <w:rFonts w:ascii="宋体" w:hAnsi="宋体" w:cs="宋体"/>
                <w:b/>
                <w:sz w:val="24"/>
                <w:highlight w:val="none"/>
              </w:rPr>
            </w:pPr>
          </w:p>
        </w:tc>
      </w:tr>
      <w:tr w14:paraId="1D897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CBB4DFA">
            <w:pPr>
              <w:spacing w:line="440" w:lineRule="exact"/>
              <w:jc w:val="center"/>
              <w:rPr>
                <w:rFonts w:ascii="宋体" w:hAnsi="宋体" w:cs="宋体"/>
                <w:sz w:val="24"/>
                <w:highlight w:val="none"/>
              </w:rPr>
            </w:pPr>
            <w:r>
              <w:rPr>
                <w:rFonts w:hint="eastAsia" w:ascii="宋体" w:hAnsi="宋体" w:cs="宋体"/>
                <w:sz w:val="24"/>
                <w:highlight w:val="none"/>
              </w:rPr>
              <w:t>三</w:t>
            </w:r>
          </w:p>
        </w:tc>
        <w:tc>
          <w:tcPr>
            <w:tcW w:w="6038" w:type="dxa"/>
            <w:vAlign w:val="center"/>
          </w:tcPr>
          <w:p w14:paraId="2DB5CC84">
            <w:pPr>
              <w:pStyle w:val="60"/>
              <w:spacing w:line="440" w:lineRule="exact"/>
              <w:rPr>
                <w:rFonts w:ascii="宋体" w:hAnsi="宋体" w:cs="宋体"/>
                <w:highlight w:val="none"/>
              </w:rPr>
            </w:pPr>
            <w:r>
              <w:rPr>
                <w:rFonts w:hint="eastAsia" w:ascii="宋体" w:hAnsi="宋体" w:cs="宋体"/>
                <w:szCs w:val="24"/>
                <w:highlight w:val="none"/>
              </w:rPr>
              <w:t>磋商授权书</w:t>
            </w:r>
          </w:p>
        </w:tc>
        <w:tc>
          <w:tcPr>
            <w:tcW w:w="1417" w:type="dxa"/>
            <w:vAlign w:val="center"/>
          </w:tcPr>
          <w:p w14:paraId="194FC282">
            <w:pPr>
              <w:spacing w:line="440" w:lineRule="exact"/>
              <w:jc w:val="center"/>
              <w:rPr>
                <w:rFonts w:ascii="宋体" w:hAnsi="宋体" w:cs="宋体"/>
                <w:b/>
                <w:sz w:val="24"/>
                <w:highlight w:val="none"/>
              </w:rPr>
            </w:pPr>
          </w:p>
        </w:tc>
      </w:tr>
      <w:tr w14:paraId="32AA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C50A23A">
            <w:pPr>
              <w:spacing w:line="440" w:lineRule="exact"/>
              <w:jc w:val="center"/>
              <w:rPr>
                <w:rFonts w:ascii="宋体" w:hAnsi="宋体" w:cs="宋体"/>
                <w:sz w:val="24"/>
                <w:highlight w:val="none"/>
              </w:rPr>
            </w:pPr>
            <w:r>
              <w:rPr>
                <w:rFonts w:hint="eastAsia" w:ascii="宋体" w:hAnsi="宋体" w:cs="宋体"/>
                <w:sz w:val="24"/>
                <w:highlight w:val="none"/>
              </w:rPr>
              <w:t>四</w:t>
            </w:r>
          </w:p>
        </w:tc>
        <w:tc>
          <w:tcPr>
            <w:tcW w:w="6038" w:type="dxa"/>
            <w:vAlign w:val="center"/>
          </w:tcPr>
          <w:p w14:paraId="34BA469B">
            <w:pPr>
              <w:pStyle w:val="60"/>
              <w:spacing w:line="440" w:lineRule="exact"/>
              <w:rPr>
                <w:rFonts w:ascii="宋体" w:hAnsi="宋体" w:cs="宋体"/>
                <w:highlight w:val="none"/>
              </w:rPr>
            </w:pPr>
            <w:r>
              <w:rPr>
                <w:rFonts w:hint="eastAsia" w:ascii="宋体" w:hAnsi="宋体" w:cs="宋体"/>
                <w:szCs w:val="24"/>
                <w:highlight w:val="none"/>
              </w:rPr>
              <w:t>磋商响应函</w:t>
            </w:r>
          </w:p>
        </w:tc>
        <w:tc>
          <w:tcPr>
            <w:tcW w:w="1417" w:type="dxa"/>
            <w:vAlign w:val="center"/>
          </w:tcPr>
          <w:p w14:paraId="1E558273">
            <w:pPr>
              <w:spacing w:line="440" w:lineRule="exact"/>
              <w:jc w:val="center"/>
              <w:rPr>
                <w:rFonts w:ascii="宋体" w:hAnsi="宋体" w:cs="宋体"/>
                <w:b/>
                <w:sz w:val="24"/>
                <w:highlight w:val="none"/>
              </w:rPr>
            </w:pPr>
          </w:p>
        </w:tc>
      </w:tr>
      <w:tr w14:paraId="207D1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096BC7A6">
            <w:pPr>
              <w:spacing w:line="440" w:lineRule="exact"/>
              <w:jc w:val="center"/>
              <w:rPr>
                <w:rFonts w:ascii="宋体" w:hAnsi="宋体" w:cs="宋体"/>
                <w:sz w:val="24"/>
                <w:highlight w:val="none"/>
              </w:rPr>
            </w:pPr>
            <w:r>
              <w:rPr>
                <w:rFonts w:hint="eastAsia" w:ascii="宋体" w:hAnsi="宋体" w:cs="宋体"/>
                <w:sz w:val="24"/>
                <w:highlight w:val="none"/>
              </w:rPr>
              <w:t>五</w:t>
            </w:r>
          </w:p>
        </w:tc>
        <w:tc>
          <w:tcPr>
            <w:tcW w:w="6038" w:type="dxa"/>
            <w:vAlign w:val="center"/>
          </w:tcPr>
          <w:p w14:paraId="2A7C4246">
            <w:pPr>
              <w:spacing w:line="440" w:lineRule="exact"/>
              <w:rPr>
                <w:rFonts w:ascii="宋体" w:hAnsi="宋体" w:cs="宋体"/>
                <w:sz w:val="24"/>
                <w:highlight w:val="none"/>
              </w:rPr>
            </w:pPr>
            <w:r>
              <w:rPr>
                <w:rFonts w:hint="eastAsia" w:ascii="宋体" w:hAnsi="宋体" w:cs="宋体"/>
                <w:sz w:val="24"/>
                <w:szCs w:val="24"/>
                <w:highlight w:val="none"/>
              </w:rPr>
              <w:t>无重大违法记录声明函、无不良信用记录承诺函</w:t>
            </w:r>
          </w:p>
        </w:tc>
        <w:tc>
          <w:tcPr>
            <w:tcW w:w="1417" w:type="dxa"/>
            <w:vAlign w:val="center"/>
          </w:tcPr>
          <w:p w14:paraId="3587C249">
            <w:pPr>
              <w:spacing w:line="440" w:lineRule="exact"/>
              <w:jc w:val="center"/>
              <w:rPr>
                <w:rFonts w:ascii="宋体" w:hAnsi="宋体" w:cs="宋体"/>
                <w:b/>
                <w:sz w:val="24"/>
                <w:highlight w:val="none"/>
              </w:rPr>
            </w:pPr>
          </w:p>
        </w:tc>
      </w:tr>
      <w:tr w14:paraId="5699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50" w:type="dxa"/>
            <w:vAlign w:val="center"/>
          </w:tcPr>
          <w:p w14:paraId="39A4D2DB">
            <w:pPr>
              <w:spacing w:line="440" w:lineRule="exact"/>
              <w:jc w:val="center"/>
              <w:rPr>
                <w:rFonts w:ascii="宋体" w:hAnsi="宋体" w:cs="宋体"/>
                <w:sz w:val="24"/>
                <w:highlight w:val="none"/>
              </w:rPr>
            </w:pPr>
            <w:r>
              <w:rPr>
                <w:rFonts w:hint="eastAsia" w:ascii="宋体" w:hAnsi="宋体" w:cs="宋体"/>
                <w:sz w:val="24"/>
                <w:highlight w:val="none"/>
              </w:rPr>
              <w:t>六</w:t>
            </w:r>
          </w:p>
        </w:tc>
        <w:tc>
          <w:tcPr>
            <w:tcW w:w="6038" w:type="dxa"/>
            <w:vAlign w:val="center"/>
          </w:tcPr>
          <w:p w14:paraId="033BA2D5">
            <w:pPr>
              <w:spacing w:line="440" w:lineRule="exact"/>
              <w:rPr>
                <w:rFonts w:ascii="宋体" w:hAnsi="宋体" w:cs="宋体"/>
                <w:sz w:val="24"/>
                <w:highlight w:val="none"/>
              </w:rPr>
            </w:pPr>
            <w:r>
              <w:rPr>
                <w:rFonts w:hint="eastAsia" w:ascii="宋体" w:hAnsi="宋体" w:cs="宋体"/>
                <w:sz w:val="24"/>
                <w:szCs w:val="24"/>
                <w:highlight w:val="none"/>
              </w:rPr>
              <w:t>响应情况表</w:t>
            </w:r>
          </w:p>
        </w:tc>
        <w:tc>
          <w:tcPr>
            <w:tcW w:w="1417" w:type="dxa"/>
            <w:vAlign w:val="center"/>
          </w:tcPr>
          <w:p w14:paraId="2A25D4FE">
            <w:pPr>
              <w:spacing w:line="440" w:lineRule="exact"/>
              <w:rPr>
                <w:rFonts w:ascii="宋体" w:hAnsi="宋体" w:cs="宋体"/>
                <w:b/>
                <w:sz w:val="24"/>
                <w:highlight w:val="none"/>
              </w:rPr>
            </w:pPr>
          </w:p>
        </w:tc>
      </w:tr>
      <w:tr w14:paraId="6DA1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050" w:type="dxa"/>
            <w:vAlign w:val="center"/>
          </w:tcPr>
          <w:p w14:paraId="4B7564F9">
            <w:pPr>
              <w:spacing w:line="440" w:lineRule="exact"/>
              <w:jc w:val="center"/>
              <w:rPr>
                <w:rFonts w:ascii="宋体" w:hAnsi="宋体" w:cs="宋体"/>
                <w:sz w:val="24"/>
                <w:highlight w:val="none"/>
              </w:rPr>
            </w:pPr>
            <w:r>
              <w:rPr>
                <w:rFonts w:hint="eastAsia" w:ascii="宋体" w:hAnsi="宋体" w:cs="宋体"/>
                <w:sz w:val="24"/>
                <w:highlight w:val="none"/>
              </w:rPr>
              <w:t>七</w:t>
            </w:r>
          </w:p>
        </w:tc>
        <w:tc>
          <w:tcPr>
            <w:tcW w:w="6038" w:type="dxa"/>
            <w:vAlign w:val="center"/>
          </w:tcPr>
          <w:p w14:paraId="7F720E8F">
            <w:pPr>
              <w:spacing w:line="440" w:lineRule="exact"/>
              <w:rPr>
                <w:rFonts w:ascii="宋体" w:hAnsi="宋体" w:cs="宋体"/>
                <w:sz w:val="24"/>
                <w:highlight w:val="none"/>
              </w:rPr>
            </w:pPr>
            <w:r>
              <w:rPr>
                <w:rFonts w:hint="eastAsia" w:ascii="宋体" w:hAnsi="宋体" w:cs="宋体"/>
                <w:sz w:val="24"/>
                <w:szCs w:val="24"/>
                <w:highlight w:val="none"/>
              </w:rPr>
              <w:t>相关服务承诺函</w:t>
            </w:r>
          </w:p>
        </w:tc>
        <w:tc>
          <w:tcPr>
            <w:tcW w:w="1417" w:type="dxa"/>
            <w:vAlign w:val="center"/>
          </w:tcPr>
          <w:p w14:paraId="34E8DB1D">
            <w:pPr>
              <w:spacing w:line="440" w:lineRule="exact"/>
              <w:rPr>
                <w:rFonts w:ascii="宋体" w:hAnsi="宋体" w:cs="宋体"/>
                <w:b/>
                <w:sz w:val="24"/>
                <w:highlight w:val="none"/>
              </w:rPr>
            </w:pPr>
          </w:p>
        </w:tc>
      </w:tr>
      <w:tr w14:paraId="61248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0213731">
            <w:pPr>
              <w:spacing w:line="440" w:lineRule="exact"/>
              <w:jc w:val="center"/>
              <w:rPr>
                <w:rFonts w:ascii="宋体" w:hAnsi="宋体" w:cs="宋体"/>
                <w:sz w:val="24"/>
                <w:highlight w:val="none"/>
              </w:rPr>
            </w:pPr>
            <w:r>
              <w:rPr>
                <w:rFonts w:hint="eastAsia" w:ascii="宋体" w:hAnsi="宋体" w:cs="宋体"/>
                <w:sz w:val="24"/>
                <w:highlight w:val="none"/>
              </w:rPr>
              <w:t>八</w:t>
            </w:r>
          </w:p>
        </w:tc>
        <w:tc>
          <w:tcPr>
            <w:tcW w:w="6038" w:type="dxa"/>
            <w:vAlign w:val="center"/>
          </w:tcPr>
          <w:p w14:paraId="4246F501">
            <w:pPr>
              <w:spacing w:line="440" w:lineRule="exact"/>
              <w:rPr>
                <w:rFonts w:ascii="宋体" w:hAnsi="宋体" w:cs="宋体"/>
                <w:sz w:val="24"/>
                <w:highlight w:val="none"/>
              </w:rPr>
            </w:pPr>
            <w:bookmarkStart w:id="110" w:name="_Toc16318"/>
            <w:bookmarkStart w:id="111" w:name="_Toc6106"/>
            <w:bookmarkStart w:id="112" w:name="_Toc19445"/>
            <w:r>
              <w:rPr>
                <w:rStyle w:val="95"/>
                <w:rFonts w:hint="eastAsia" w:ascii="宋体" w:hAnsi="宋体" w:eastAsia="宋体" w:cs="宋体"/>
                <w:b w:val="0"/>
                <w:sz w:val="24"/>
                <w:szCs w:val="24"/>
                <w:highlight w:val="none"/>
              </w:rPr>
              <w:t>中小企业声明函、</w:t>
            </w:r>
            <w:bookmarkEnd w:id="110"/>
            <w:bookmarkEnd w:id="111"/>
            <w:bookmarkEnd w:id="112"/>
            <w:r>
              <w:rPr>
                <w:rFonts w:hint="eastAsia" w:ascii="宋体" w:hAnsi="宋体" w:cs="宋体"/>
                <w:bCs/>
                <w:sz w:val="24"/>
                <w:szCs w:val="24"/>
                <w:highlight w:val="none"/>
              </w:rPr>
              <w:t>残疾人福利性单位声明函</w:t>
            </w:r>
          </w:p>
        </w:tc>
        <w:tc>
          <w:tcPr>
            <w:tcW w:w="1417" w:type="dxa"/>
            <w:vAlign w:val="center"/>
          </w:tcPr>
          <w:p w14:paraId="0A54CB17">
            <w:pPr>
              <w:spacing w:line="440" w:lineRule="exact"/>
              <w:rPr>
                <w:rFonts w:ascii="宋体" w:hAnsi="宋体" w:cs="宋体"/>
                <w:b/>
                <w:sz w:val="24"/>
                <w:highlight w:val="none"/>
              </w:rPr>
            </w:pPr>
          </w:p>
        </w:tc>
      </w:tr>
      <w:tr w14:paraId="6D69C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B99D157">
            <w:pPr>
              <w:spacing w:line="440" w:lineRule="exact"/>
              <w:jc w:val="center"/>
              <w:rPr>
                <w:rFonts w:ascii="宋体" w:hAnsi="宋体" w:cs="宋体"/>
                <w:sz w:val="24"/>
                <w:highlight w:val="none"/>
              </w:rPr>
            </w:pPr>
            <w:r>
              <w:rPr>
                <w:rFonts w:hint="eastAsia" w:ascii="宋体" w:hAnsi="宋体" w:cs="宋体"/>
                <w:sz w:val="24"/>
                <w:highlight w:val="none"/>
              </w:rPr>
              <w:t>九</w:t>
            </w:r>
          </w:p>
        </w:tc>
        <w:tc>
          <w:tcPr>
            <w:tcW w:w="6038" w:type="dxa"/>
            <w:vAlign w:val="center"/>
          </w:tcPr>
          <w:p w14:paraId="1622BAAD">
            <w:pPr>
              <w:spacing w:line="440" w:lineRule="exact"/>
              <w:rPr>
                <w:rFonts w:ascii="宋体" w:hAnsi="宋体" w:cs="宋体"/>
                <w:sz w:val="24"/>
                <w:highlight w:val="none"/>
              </w:rPr>
            </w:pPr>
            <w:r>
              <w:rPr>
                <w:rFonts w:hint="eastAsia" w:ascii="宋体" w:hAnsi="宋体" w:cs="宋体"/>
                <w:sz w:val="24"/>
                <w:highlight w:val="none"/>
              </w:rPr>
              <w:t>联合体协议</w:t>
            </w:r>
          </w:p>
        </w:tc>
        <w:tc>
          <w:tcPr>
            <w:tcW w:w="1417" w:type="dxa"/>
            <w:vAlign w:val="center"/>
          </w:tcPr>
          <w:p w14:paraId="77A9DE51">
            <w:pPr>
              <w:spacing w:line="440" w:lineRule="exact"/>
              <w:rPr>
                <w:rFonts w:ascii="宋体" w:hAnsi="宋体" w:cs="宋体"/>
                <w:b/>
                <w:sz w:val="24"/>
                <w:highlight w:val="none"/>
              </w:rPr>
            </w:pPr>
          </w:p>
        </w:tc>
      </w:tr>
      <w:tr w14:paraId="03BD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vAlign w:val="center"/>
          </w:tcPr>
          <w:p w14:paraId="3AC63431">
            <w:pPr>
              <w:spacing w:line="440" w:lineRule="exact"/>
              <w:jc w:val="center"/>
              <w:rPr>
                <w:rFonts w:ascii="宋体" w:hAnsi="宋体" w:cs="宋体"/>
                <w:sz w:val="24"/>
                <w:highlight w:val="none"/>
              </w:rPr>
            </w:pPr>
            <w:r>
              <w:rPr>
                <w:rFonts w:hint="eastAsia" w:ascii="宋体" w:hAnsi="宋体" w:cs="宋体"/>
                <w:sz w:val="24"/>
                <w:highlight w:val="none"/>
              </w:rPr>
              <w:t>十</w:t>
            </w:r>
          </w:p>
        </w:tc>
        <w:tc>
          <w:tcPr>
            <w:tcW w:w="6038" w:type="dxa"/>
            <w:vAlign w:val="center"/>
          </w:tcPr>
          <w:p w14:paraId="1CC5D196">
            <w:pPr>
              <w:spacing w:line="440" w:lineRule="exact"/>
              <w:rPr>
                <w:rFonts w:ascii="宋体" w:hAnsi="宋体" w:cs="宋体"/>
                <w:sz w:val="24"/>
                <w:highlight w:val="none"/>
              </w:rPr>
            </w:pPr>
            <w:r>
              <w:rPr>
                <w:rFonts w:hint="eastAsia" w:ascii="宋体" w:hAnsi="宋体" w:cs="宋体"/>
                <w:sz w:val="24"/>
                <w:szCs w:val="24"/>
                <w:highlight w:val="none"/>
              </w:rPr>
              <w:t>磋商文件要求和供应商认为需要提供的其它说明和资料</w:t>
            </w:r>
          </w:p>
        </w:tc>
        <w:tc>
          <w:tcPr>
            <w:tcW w:w="1417" w:type="dxa"/>
            <w:vAlign w:val="center"/>
          </w:tcPr>
          <w:p w14:paraId="43D311DD">
            <w:pPr>
              <w:spacing w:line="440" w:lineRule="exact"/>
              <w:rPr>
                <w:rFonts w:ascii="宋体" w:hAnsi="宋体" w:cs="宋体"/>
                <w:b/>
                <w:sz w:val="24"/>
                <w:highlight w:val="none"/>
              </w:rPr>
            </w:pPr>
          </w:p>
        </w:tc>
      </w:tr>
      <w:tr w14:paraId="6DC3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vAlign w:val="center"/>
          </w:tcPr>
          <w:p w14:paraId="6F8B3BC5">
            <w:pPr>
              <w:spacing w:line="440" w:lineRule="exact"/>
              <w:jc w:val="center"/>
              <w:rPr>
                <w:rFonts w:ascii="宋体" w:hAnsi="宋体" w:cs="宋体"/>
                <w:sz w:val="24"/>
                <w:highlight w:val="none"/>
              </w:rPr>
            </w:pPr>
            <w:r>
              <w:rPr>
                <w:rFonts w:hint="eastAsia" w:ascii="宋体" w:hAnsi="宋体" w:cs="宋体"/>
                <w:sz w:val="24"/>
                <w:highlight w:val="none"/>
              </w:rPr>
              <w:t>...</w:t>
            </w:r>
          </w:p>
        </w:tc>
        <w:tc>
          <w:tcPr>
            <w:tcW w:w="6038" w:type="dxa"/>
            <w:vAlign w:val="center"/>
          </w:tcPr>
          <w:p w14:paraId="2DDFC7EA">
            <w:pPr>
              <w:spacing w:line="440" w:lineRule="exact"/>
              <w:rPr>
                <w:rFonts w:ascii="宋体" w:hAnsi="宋体" w:cs="宋体"/>
                <w:sz w:val="24"/>
                <w:highlight w:val="none"/>
              </w:rPr>
            </w:pPr>
          </w:p>
        </w:tc>
        <w:tc>
          <w:tcPr>
            <w:tcW w:w="1417" w:type="dxa"/>
            <w:vAlign w:val="center"/>
          </w:tcPr>
          <w:p w14:paraId="04D20F92">
            <w:pPr>
              <w:spacing w:line="440" w:lineRule="exact"/>
              <w:rPr>
                <w:rFonts w:ascii="宋体" w:hAnsi="宋体" w:cs="宋体"/>
                <w:b/>
                <w:sz w:val="24"/>
                <w:highlight w:val="none"/>
              </w:rPr>
            </w:pPr>
          </w:p>
        </w:tc>
      </w:tr>
      <w:tr w14:paraId="2C3F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3F2F9A1C">
            <w:pPr>
              <w:spacing w:line="440" w:lineRule="exact"/>
              <w:jc w:val="center"/>
              <w:rPr>
                <w:rFonts w:ascii="宋体" w:hAnsi="宋体" w:cs="宋体"/>
                <w:sz w:val="24"/>
                <w:highlight w:val="none"/>
              </w:rPr>
            </w:pPr>
          </w:p>
        </w:tc>
        <w:tc>
          <w:tcPr>
            <w:tcW w:w="6038" w:type="dxa"/>
            <w:vAlign w:val="center"/>
          </w:tcPr>
          <w:p w14:paraId="3D88DA34">
            <w:pPr>
              <w:spacing w:line="440" w:lineRule="exact"/>
              <w:rPr>
                <w:rFonts w:ascii="宋体" w:hAnsi="宋体" w:cs="宋体"/>
                <w:sz w:val="24"/>
                <w:highlight w:val="none"/>
              </w:rPr>
            </w:pPr>
          </w:p>
        </w:tc>
        <w:tc>
          <w:tcPr>
            <w:tcW w:w="1417" w:type="dxa"/>
            <w:vAlign w:val="center"/>
          </w:tcPr>
          <w:p w14:paraId="6E0F2904">
            <w:pPr>
              <w:spacing w:line="440" w:lineRule="exact"/>
              <w:rPr>
                <w:rFonts w:ascii="宋体" w:hAnsi="宋体" w:cs="宋体"/>
                <w:b/>
                <w:sz w:val="24"/>
                <w:highlight w:val="none"/>
              </w:rPr>
            </w:pPr>
          </w:p>
        </w:tc>
      </w:tr>
      <w:tr w14:paraId="3BD3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59E0EED9">
            <w:pPr>
              <w:spacing w:line="440" w:lineRule="exact"/>
              <w:jc w:val="center"/>
              <w:rPr>
                <w:rFonts w:ascii="宋体" w:hAnsi="宋体" w:cs="宋体"/>
                <w:sz w:val="24"/>
                <w:highlight w:val="none"/>
              </w:rPr>
            </w:pPr>
          </w:p>
        </w:tc>
        <w:tc>
          <w:tcPr>
            <w:tcW w:w="6038" w:type="dxa"/>
            <w:vAlign w:val="center"/>
          </w:tcPr>
          <w:p w14:paraId="1378DF03">
            <w:pPr>
              <w:spacing w:line="440" w:lineRule="exact"/>
              <w:rPr>
                <w:rFonts w:ascii="宋体" w:hAnsi="宋体" w:cs="宋体"/>
                <w:sz w:val="24"/>
                <w:highlight w:val="none"/>
              </w:rPr>
            </w:pPr>
          </w:p>
        </w:tc>
        <w:tc>
          <w:tcPr>
            <w:tcW w:w="1417" w:type="dxa"/>
            <w:vAlign w:val="center"/>
          </w:tcPr>
          <w:p w14:paraId="65AB5D4C">
            <w:pPr>
              <w:spacing w:line="440" w:lineRule="exact"/>
              <w:rPr>
                <w:rFonts w:ascii="宋体" w:hAnsi="宋体" w:cs="宋体"/>
                <w:b/>
                <w:sz w:val="24"/>
                <w:highlight w:val="none"/>
              </w:rPr>
            </w:pPr>
          </w:p>
        </w:tc>
      </w:tr>
      <w:tr w14:paraId="6FE6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vAlign w:val="center"/>
          </w:tcPr>
          <w:p w14:paraId="7C87894E">
            <w:pPr>
              <w:spacing w:line="440" w:lineRule="exact"/>
              <w:jc w:val="center"/>
              <w:rPr>
                <w:rFonts w:ascii="宋体" w:hAnsi="宋体" w:cs="宋体"/>
                <w:sz w:val="24"/>
                <w:highlight w:val="none"/>
              </w:rPr>
            </w:pPr>
          </w:p>
        </w:tc>
        <w:tc>
          <w:tcPr>
            <w:tcW w:w="6038" w:type="dxa"/>
            <w:vAlign w:val="center"/>
          </w:tcPr>
          <w:p w14:paraId="28BD85C0">
            <w:pPr>
              <w:spacing w:line="440" w:lineRule="exact"/>
              <w:rPr>
                <w:rFonts w:ascii="宋体" w:hAnsi="宋体" w:cs="宋体"/>
                <w:sz w:val="24"/>
                <w:highlight w:val="none"/>
              </w:rPr>
            </w:pPr>
          </w:p>
        </w:tc>
        <w:tc>
          <w:tcPr>
            <w:tcW w:w="1417" w:type="dxa"/>
            <w:vAlign w:val="center"/>
          </w:tcPr>
          <w:p w14:paraId="2D9FC571">
            <w:pPr>
              <w:spacing w:line="440" w:lineRule="exact"/>
              <w:rPr>
                <w:rFonts w:ascii="宋体" w:hAnsi="宋体" w:cs="宋体"/>
                <w:b/>
                <w:sz w:val="24"/>
                <w:highlight w:val="none"/>
              </w:rPr>
            </w:pPr>
          </w:p>
        </w:tc>
      </w:tr>
    </w:tbl>
    <w:p w14:paraId="159D0BD4">
      <w:pPr>
        <w:spacing w:line="360" w:lineRule="auto"/>
        <w:jc w:val="center"/>
        <w:rPr>
          <w:rFonts w:ascii="宋体" w:hAnsi="宋体" w:cs="宋体"/>
          <w:b/>
          <w:sz w:val="24"/>
          <w:highlight w:val="none"/>
        </w:rPr>
      </w:pPr>
    </w:p>
    <w:p w14:paraId="464901ED">
      <w:pPr>
        <w:spacing w:line="360" w:lineRule="auto"/>
        <w:jc w:val="center"/>
        <w:rPr>
          <w:rFonts w:ascii="宋体" w:hAnsi="宋体" w:cs="宋体"/>
          <w:b/>
          <w:sz w:val="24"/>
          <w:highlight w:val="none"/>
        </w:rPr>
      </w:pPr>
    </w:p>
    <w:p w14:paraId="637F67C3">
      <w:pPr>
        <w:spacing w:line="360" w:lineRule="auto"/>
        <w:jc w:val="center"/>
        <w:rPr>
          <w:rFonts w:ascii="宋体" w:hAnsi="宋体" w:cs="宋体"/>
          <w:b/>
          <w:sz w:val="24"/>
          <w:highlight w:val="none"/>
        </w:rPr>
      </w:pPr>
    </w:p>
    <w:p w14:paraId="66D970AA">
      <w:pPr>
        <w:spacing w:before="0" w:after="0" w:line="560" w:lineRule="exact"/>
        <w:outlineLvl w:val="9"/>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13" w:name="_Toc21309"/>
      <w:bookmarkStart w:id="114" w:name="_Toc10603"/>
      <w:bookmarkStart w:id="115" w:name="_Toc8158"/>
      <w:r>
        <w:rPr>
          <w:rFonts w:hint="eastAsia" w:ascii="宋体" w:hAnsi="宋体" w:eastAsia="宋体" w:cs="宋体"/>
          <w:b/>
          <w:bCs/>
          <w:sz w:val="24"/>
          <w:szCs w:val="24"/>
          <w:highlight w:val="none"/>
        </w:rPr>
        <w:t>附件一</w:t>
      </w:r>
      <w:bookmarkEnd w:id="113"/>
      <w:bookmarkEnd w:id="114"/>
      <w:bookmarkEnd w:id="115"/>
    </w:p>
    <w:p w14:paraId="4ECA6CD3">
      <w:pPr>
        <w:pStyle w:val="3"/>
        <w:spacing w:before="0" w:after="0" w:line="560" w:lineRule="exact"/>
        <w:jc w:val="center"/>
        <w:rPr>
          <w:rFonts w:ascii="宋体" w:hAnsi="宋体" w:eastAsia="宋体" w:cs="宋体"/>
          <w:sz w:val="24"/>
          <w:szCs w:val="24"/>
          <w:highlight w:val="none"/>
        </w:rPr>
      </w:pPr>
      <w:bookmarkStart w:id="116" w:name="_Toc9181"/>
      <w:bookmarkStart w:id="117" w:name="_Toc10816"/>
      <w:bookmarkStart w:id="118" w:name="_Toc5601"/>
      <w:r>
        <w:rPr>
          <w:rFonts w:hint="eastAsia" w:ascii="宋体" w:hAnsi="宋体" w:eastAsia="宋体" w:cs="宋体"/>
          <w:sz w:val="24"/>
          <w:szCs w:val="24"/>
          <w:highlight w:val="none"/>
        </w:rPr>
        <w:t>报价单</w:t>
      </w:r>
      <w:bookmarkEnd w:id="116"/>
      <w:bookmarkEnd w:id="117"/>
      <w:bookmarkEnd w:id="118"/>
    </w:p>
    <w:p w14:paraId="58EBACC4">
      <w:pPr>
        <w:rPr>
          <w:rFonts w:ascii="宋体" w:hAnsi="宋体" w:cs="宋体"/>
          <w:highlight w:val="none"/>
        </w:rPr>
      </w:pP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4078"/>
        <w:gridCol w:w="1214"/>
        <w:gridCol w:w="1091"/>
        <w:gridCol w:w="1821"/>
      </w:tblGrid>
      <w:tr w14:paraId="4976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840" w:type="dxa"/>
            <w:vAlign w:val="center"/>
          </w:tcPr>
          <w:p w14:paraId="1255FA28">
            <w:pPr>
              <w:jc w:val="center"/>
              <w:rPr>
                <w:rFonts w:ascii="宋体" w:hAnsi="宋体" w:cs="宋体"/>
                <w:b/>
                <w:sz w:val="24"/>
                <w:szCs w:val="24"/>
                <w:highlight w:val="none"/>
              </w:rPr>
            </w:pPr>
            <w:r>
              <w:rPr>
                <w:rFonts w:hint="eastAsia" w:ascii="宋体" w:hAnsi="宋体" w:cs="宋体"/>
                <w:b/>
                <w:sz w:val="24"/>
                <w:szCs w:val="24"/>
                <w:highlight w:val="none"/>
              </w:rPr>
              <w:t>序号</w:t>
            </w:r>
          </w:p>
        </w:tc>
        <w:tc>
          <w:tcPr>
            <w:tcW w:w="4078" w:type="dxa"/>
            <w:vAlign w:val="center"/>
          </w:tcPr>
          <w:p w14:paraId="3D6A4726">
            <w:pPr>
              <w:jc w:val="center"/>
              <w:rPr>
                <w:rFonts w:ascii="宋体" w:hAnsi="宋体" w:cs="宋体"/>
                <w:b/>
                <w:sz w:val="24"/>
                <w:szCs w:val="24"/>
                <w:highlight w:val="none"/>
              </w:rPr>
            </w:pPr>
            <w:r>
              <w:rPr>
                <w:rFonts w:hint="eastAsia" w:ascii="宋体" w:hAnsi="宋体" w:cs="宋体"/>
                <w:b/>
                <w:sz w:val="24"/>
                <w:szCs w:val="24"/>
                <w:highlight w:val="none"/>
              </w:rPr>
              <w:t>服务内容</w:t>
            </w:r>
          </w:p>
        </w:tc>
        <w:tc>
          <w:tcPr>
            <w:tcW w:w="1214" w:type="dxa"/>
            <w:vAlign w:val="center"/>
          </w:tcPr>
          <w:p w14:paraId="0F913509">
            <w:pPr>
              <w:jc w:val="center"/>
              <w:rPr>
                <w:rFonts w:ascii="宋体" w:hAnsi="宋体" w:cs="宋体"/>
                <w:b/>
                <w:sz w:val="24"/>
                <w:szCs w:val="24"/>
                <w:highlight w:val="none"/>
              </w:rPr>
            </w:pPr>
            <w:r>
              <w:rPr>
                <w:rFonts w:hint="eastAsia" w:ascii="宋体" w:hAnsi="宋体" w:cs="宋体"/>
                <w:b/>
                <w:sz w:val="24"/>
                <w:szCs w:val="24"/>
                <w:highlight w:val="none"/>
              </w:rPr>
              <w:t>项</w:t>
            </w:r>
          </w:p>
        </w:tc>
        <w:tc>
          <w:tcPr>
            <w:tcW w:w="1091" w:type="dxa"/>
            <w:vAlign w:val="center"/>
          </w:tcPr>
          <w:p w14:paraId="2A48FD36">
            <w:pPr>
              <w:jc w:val="center"/>
              <w:rPr>
                <w:rFonts w:ascii="宋体" w:hAnsi="宋体" w:cs="宋体"/>
                <w:b/>
                <w:sz w:val="24"/>
                <w:szCs w:val="24"/>
                <w:highlight w:val="none"/>
              </w:rPr>
            </w:pPr>
            <w:r>
              <w:rPr>
                <w:rFonts w:hint="eastAsia" w:ascii="宋体" w:hAnsi="宋体" w:cs="宋体"/>
                <w:b/>
                <w:sz w:val="24"/>
                <w:szCs w:val="24"/>
                <w:highlight w:val="none"/>
              </w:rPr>
              <w:t>单价</w:t>
            </w:r>
          </w:p>
        </w:tc>
        <w:tc>
          <w:tcPr>
            <w:tcW w:w="1821" w:type="dxa"/>
            <w:vAlign w:val="center"/>
          </w:tcPr>
          <w:p w14:paraId="2458D309">
            <w:pPr>
              <w:jc w:val="center"/>
              <w:rPr>
                <w:rFonts w:ascii="宋体" w:hAnsi="宋体" w:cs="宋体"/>
                <w:b/>
                <w:sz w:val="24"/>
                <w:szCs w:val="24"/>
                <w:highlight w:val="none"/>
              </w:rPr>
            </w:pPr>
            <w:r>
              <w:rPr>
                <w:rFonts w:hint="eastAsia" w:ascii="宋体" w:hAnsi="宋体" w:cs="宋体"/>
                <w:b/>
                <w:sz w:val="24"/>
                <w:szCs w:val="24"/>
                <w:highlight w:val="none"/>
              </w:rPr>
              <w:t>小计金额（元）</w:t>
            </w:r>
          </w:p>
        </w:tc>
      </w:tr>
      <w:tr w14:paraId="7F5CE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tcBorders>
              <w:bottom w:val="single" w:color="auto" w:sz="4" w:space="0"/>
            </w:tcBorders>
            <w:vAlign w:val="center"/>
          </w:tcPr>
          <w:p w14:paraId="00C63E53">
            <w:pPr>
              <w:jc w:val="center"/>
              <w:rPr>
                <w:rFonts w:ascii="宋体" w:hAnsi="宋体" w:cs="宋体"/>
                <w:bCs/>
                <w:sz w:val="24"/>
                <w:szCs w:val="24"/>
                <w:highlight w:val="none"/>
              </w:rPr>
            </w:pPr>
            <w:r>
              <w:rPr>
                <w:rFonts w:hint="eastAsia" w:ascii="宋体" w:hAnsi="宋体" w:cs="宋体"/>
                <w:bCs/>
                <w:sz w:val="24"/>
                <w:szCs w:val="24"/>
                <w:highlight w:val="none"/>
              </w:rPr>
              <w:t>1</w:t>
            </w:r>
          </w:p>
        </w:tc>
        <w:tc>
          <w:tcPr>
            <w:tcW w:w="4078" w:type="dxa"/>
            <w:vAlign w:val="center"/>
          </w:tcPr>
          <w:p w14:paraId="115B6323">
            <w:pPr>
              <w:jc w:val="center"/>
              <w:rPr>
                <w:rFonts w:ascii="宋体" w:hAnsi="宋体" w:cs="宋体"/>
                <w:bCs/>
                <w:sz w:val="24"/>
                <w:szCs w:val="24"/>
                <w:highlight w:val="none"/>
              </w:rPr>
            </w:pPr>
          </w:p>
        </w:tc>
        <w:tc>
          <w:tcPr>
            <w:tcW w:w="1214" w:type="dxa"/>
            <w:vAlign w:val="center"/>
          </w:tcPr>
          <w:p w14:paraId="390F848A">
            <w:pPr>
              <w:jc w:val="center"/>
              <w:rPr>
                <w:rFonts w:ascii="宋体" w:hAnsi="宋体" w:cs="宋体"/>
                <w:bCs/>
                <w:sz w:val="24"/>
                <w:szCs w:val="24"/>
                <w:highlight w:val="none"/>
              </w:rPr>
            </w:pPr>
          </w:p>
        </w:tc>
        <w:tc>
          <w:tcPr>
            <w:tcW w:w="1091" w:type="dxa"/>
            <w:vAlign w:val="center"/>
          </w:tcPr>
          <w:p w14:paraId="64DC4D4A">
            <w:pPr>
              <w:jc w:val="center"/>
              <w:rPr>
                <w:rFonts w:ascii="宋体" w:hAnsi="宋体" w:cs="宋体"/>
                <w:bCs/>
                <w:sz w:val="24"/>
                <w:szCs w:val="24"/>
                <w:highlight w:val="none"/>
              </w:rPr>
            </w:pPr>
          </w:p>
        </w:tc>
        <w:tc>
          <w:tcPr>
            <w:tcW w:w="1821" w:type="dxa"/>
            <w:vAlign w:val="center"/>
          </w:tcPr>
          <w:p w14:paraId="2EF59340">
            <w:pPr>
              <w:jc w:val="center"/>
              <w:rPr>
                <w:rFonts w:ascii="宋体" w:hAnsi="宋体" w:cs="宋体"/>
                <w:bCs/>
                <w:sz w:val="24"/>
                <w:szCs w:val="24"/>
                <w:highlight w:val="none"/>
              </w:rPr>
            </w:pPr>
          </w:p>
        </w:tc>
      </w:tr>
      <w:tr w14:paraId="7B5C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22FF5108">
            <w:pPr>
              <w:jc w:val="center"/>
              <w:rPr>
                <w:rFonts w:ascii="宋体" w:hAnsi="宋体" w:cs="宋体"/>
                <w:bCs/>
                <w:sz w:val="24"/>
                <w:szCs w:val="24"/>
                <w:highlight w:val="none"/>
              </w:rPr>
            </w:pPr>
            <w:r>
              <w:rPr>
                <w:rFonts w:hint="eastAsia" w:ascii="宋体" w:hAnsi="宋体" w:cs="宋体"/>
                <w:bCs/>
                <w:sz w:val="24"/>
                <w:szCs w:val="24"/>
                <w:highlight w:val="none"/>
              </w:rPr>
              <w:t>2</w:t>
            </w:r>
          </w:p>
        </w:tc>
        <w:tc>
          <w:tcPr>
            <w:tcW w:w="4078" w:type="dxa"/>
            <w:vAlign w:val="center"/>
          </w:tcPr>
          <w:p w14:paraId="04A685FB">
            <w:pPr>
              <w:jc w:val="center"/>
              <w:rPr>
                <w:rFonts w:ascii="宋体" w:hAnsi="宋体" w:cs="宋体"/>
                <w:bCs/>
                <w:sz w:val="24"/>
                <w:szCs w:val="24"/>
                <w:highlight w:val="none"/>
              </w:rPr>
            </w:pPr>
          </w:p>
        </w:tc>
        <w:tc>
          <w:tcPr>
            <w:tcW w:w="1214" w:type="dxa"/>
            <w:vAlign w:val="center"/>
          </w:tcPr>
          <w:p w14:paraId="31B2CA84">
            <w:pPr>
              <w:jc w:val="center"/>
              <w:rPr>
                <w:rFonts w:ascii="宋体" w:hAnsi="宋体" w:cs="宋体"/>
                <w:bCs/>
                <w:sz w:val="24"/>
                <w:szCs w:val="24"/>
                <w:highlight w:val="none"/>
              </w:rPr>
            </w:pPr>
          </w:p>
        </w:tc>
        <w:tc>
          <w:tcPr>
            <w:tcW w:w="1091" w:type="dxa"/>
            <w:vAlign w:val="center"/>
          </w:tcPr>
          <w:p w14:paraId="69101DAA">
            <w:pPr>
              <w:jc w:val="center"/>
              <w:rPr>
                <w:rFonts w:ascii="宋体" w:hAnsi="宋体" w:cs="宋体"/>
                <w:bCs/>
                <w:sz w:val="24"/>
                <w:szCs w:val="24"/>
                <w:highlight w:val="none"/>
              </w:rPr>
            </w:pPr>
          </w:p>
        </w:tc>
        <w:tc>
          <w:tcPr>
            <w:tcW w:w="1821" w:type="dxa"/>
            <w:vAlign w:val="center"/>
          </w:tcPr>
          <w:p w14:paraId="23B9E03D">
            <w:pPr>
              <w:jc w:val="center"/>
              <w:rPr>
                <w:rFonts w:ascii="宋体" w:hAnsi="宋体" w:cs="宋体"/>
                <w:bCs/>
                <w:sz w:val="24"/>
                <w:szCs w:val="24"/>
                <w:highlight w:val="none"/>
              </w:rPr>
            </w:pPr>
          </w:p>
        </w:tc>
      </w:tr>
      <w:tr w14:paraId="3F9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27986181">
            <w:pPr>
              <w:jc w:val="center"/>
              <w:rPr>
                <w:rFonts w:ascii="宋体" w:hAnsi="宋体" w:cs="宋体"/>
                <w:bCs/>
                <w:sz w:val="24"/>
                <w:szCs w:val="24"/>
                <w:highlight w:val="none"/>
              </w:rPr>
            </w:pPr>
            <w:r>
              <w:rPr>
                <w:rFonts w:hint="eastAsia" w:ascii="宋体" w:hAnsi="宋体" w:cs="宋体"/>
                <w:bCs/>
                <w:sz w:val="24"/>
                <w:szCs w:val="24"/>
                <w:highlight w:val="none"/>
              </w:rPr>
              <w:t>3</w:t>
            </w:r>
          </w:p>
        </w:tc>
        <w:tc>
          <w:tcPr>
            <w:tcW w:w="4078" w:type="dxa"/>
            <w:vAlign w:val="center"/>
          </w:tcPr>
          <w:p w14:paraId="335C918A">
            <w:pPr>
              <w:jc w:val="center"/>
              <w:rPr>
                <w:rFonts w:ascii="宋体" w:hAnsi="宋体" w:cs="宋体"/>
                <w:bCs/>
                <w:sz w:val="24"/>
                <w:szCs w:val="24"/>
                <w:highlight w:val="none"/>
              </w:rPr>
            </w:pPr>
          </w:p>
        </w:tc>
        <w:tc>
          <w:tcPr>
            <w:tcW w:w="1214" w:type="dxa"/>
            <w:vAlign w:val="center"/>
          </w:tcPr>
          <w:p w14:paraId="3F2AD25B">
            <w:pPr>
              <w:jc w:val="center"/>
              <w:rPr>
                <w:rFonts w:ascii="宋体" w:hAnsi="宋体" w:cs="宋体"/>
                <w:bCs/>
                <w:sz w:val="24"/>
                <w:szCs w:val="24"/>
                <w:highlight w:val="none"/>
              </w:rPr>
            </w:pPr>
          </w:p>
        </w:tc>
        <w:tc>
          <w:tcPr>
            <w:tcW w:w="1091" w:type="dxa"/>
            <w:vAlign w:val="center"/>
          </w:tcPr>
          <w:p w14:paraId="3E620CD0">
            <w:pPr>
              <w:jc w:val="center"/>
              <w:rPr>
                <w:rFonts w:ascii="宋体" w:hAnsi="宋体" w:cs="宋体"/>
                <w:bCs/>
                <w:sz w:val="24"/>
                <w:szCs w:val="24"/>
                <w:highlight w:val="none"/>
              </w:rPr>
            </w:pPr>
          </w:p>
        </w:tc>
        <w:tc>
          <w:tcPr>
            <w:tcW w:w="1821" w:type="dxa"/>
            <w:vAlign w:val="center"/>
          </w:tcPr>
          <w:p w14:paraId="07D319E3">
            <w:pPr>
              <w:jc w:val="center"/>
              <w:rPr>
                <w:rFonts w:ascii="宋体" w:hAnsi="宋体" w:cs="宋体"/>
                <w:bCs/>
                <w:sz w:val="24"/>
                <w:szCs w:val="24"/>
                <w:highlight w:val="none"/>
              </w:rPr>
            </w:pPr>
          </w:p>
        </w:tc>
      </w:tr>
      <w:tr w14:paraId="5344C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7A996EB3">
            <w:pPr>
              <w:jc w:val="center"/>
              <w:rPr>
                <w:rFonts w:ascii="宋体" w:hAnsi="宋体" w:cs="宋体"/>
                <w:bCs/>
                <w:sz w:val="24"/>
                <w:szCs w:val="24"/>
                <w:highlight w:val="none"/>
              </w:rPr>
            </w:pPr>
            <w:r>
              <w:rPr>
                <w:rFonts w:hint="eastAsia" w:ascii="宋体" w:hAnsi="宋体" w:cs="宋体"/>
                <w:bCs/>
                <w:sz w:val="24"/>
                <w:szCs w:val="24"/>
                <w:highlight w:val="none"/>
              </w:rPr>
              <w:t>…</w:t>
            </w:r>
          </w:p>
        </w:tc>
        <w:tc>
          <w:tcPr>
            <w:tcW w:w="4078" w:type="dxa"/>
            <w:vAlign w:val="center"/>
          </w:tcPr>
          <w:p w14:paraId="43DABA53">
            <w:pPr>
              <w:jc w:val="center"/>
              <w:rPr>
                <w:rFonts w:ascii="宋体" w:hAnsi="宋体" w:cs="宋体"/>
                <w:bCs/>
                <w:sz w:val="24"/>
                <w:szCs w:val="24"/>
                <w:highlight w:val="none"/>
              </w:rPr>
            </w:pPr>
          </w:p>
        </w:tc>
        <w:tc>
          <w:tcPr>
            <w:tcW w:w="1214" w:type="dxa"/>
            <w:vAlign w:val="center"/>
          </w:tcPr>
          <w:p w14:paraId="2E4C8FEF">
            <w:pPr>
              <w:jc w:val="center"/>
              <w:rPr>
                <w:rFonts w:ascii="宋体" w:hAnsi="宋体" w:cs="宋体"/>
                <w:bCs/>
                <w:sz w:val="24"/>
                <w:szCs w:val="24"/>
                <w:highlight w:val="none"/>
              </w:rPr>
            </w:pPr>
          </w:p>
        </w:tc>
        <w:tc>
          <w:tcPr>
            <w:tcW w:w="1091" w:type="dxa"/>
            <w:vAlign w:val="center"/>
          </w:tcPr>
          <w:p w14:paraId="75416EE1">
            <w:pPr>
              <w:jc w:val="center"/>
              <w:rPr>
                <w:rFonts w:ascii="宋体" w:hAnsi="宋体" w:cs="宋体"/>
                <w:bCs/>
                <w:sz w:val="24"/>
                <w:szCs w:val="24"/>
                <w:highlight w:val="none"/>
              </w:rPr>
            </w:pPr>
          </w:p>
        </w:tc>
        <w:tc>
          <w:tcPr>
            <w:tcW w:w="1821" w:type="dxa"/>
            <w:vAlign w:val="center"/>
          </w:tcPr>
          <w:p w14:paraId="141E5325">
            <w:pPr>
              <w:jc w:val="center"/>
              <w:rPr>
                <w:rFonts w:ascii="宋体" w:hAnsi="宋体" w:cs="宋体"/>
                <w:bCs/>
                <w:sz w:val="24"/>
                <w:szCs w:val="24"/>
                <w:highlight w:val="none"/>
              </w:rPr>
            </w:pPr>
          </w:p>
        </w:tc>
      </w:tr>
      <w:tr w14:paraId="2DD7E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19C3ABC9">
            <w:pPr>
              <w:jc w:val="center"/>
              <w:rPr>
                <w:rFonts w:ascii="宋体" w:hAnsi="宋体" w:cs="宋体"/>
                <w:bCs/>
                <w:sz w:val="24"/>
                <w:szCs w:val="24"/>
                <w:highlight w:val="none"/>
              </w:rPr>
            </w:pPr>
          </w:p>
        </w:tc>
        <w:tc>
          <w:tcPr>
            <w:tcW w:w="4078" w:type="dxa"/>
            <w:vAlign w:val="center"/>
          </w:tcPr>
          <w:p w14:paraId="665CC179">
            <w:pPr>
              <w:pStyle w:val="60"/>
              <w:ind w:left="-108"/>
              <w:jc w:val="center"/>
              <w:rPr>
                <w:rFonts w:ascii="宋体" w:hAnsi="宋体" w:cs="宋体"/>
                <w:bCs/>
                <w:szCs w:val="24"/>
                <w:highlight w:val="none"/>
              </w:rPr>
            </w:pPr>
            <w:r>
              <w:rPr>
                <w:rFonts w:hint="eastAsia" w:ascii="宋体" w:hAnsi="宋体" w:cs="宋体"/>
                <w:bCs/>
                <w:szCs w:val="24"/>
                <w:highlight w:val="none"/>
              </w:rPr>
              <w:t>其他费用</w:t>
            </w:r>
          </w:p>
        </w:tc>
        <w:tc>
          <w:tcPr>
            <w:tcW w:w="1214" w:type="dxa"/>
            <w:vAlign w:val="center"/>
          </w:tcPr>
          <w:p w14:paraId="1FCE7151">
            <w:pPr>
              <w:jc w:val="center"/>
              <w:rPr>
                <w:rFonts w:ascii="宋体" w:hAnsi="宋体" w:cs="宋体"/>
                <w:bCs/>
                <w:sz w:val="24"/>
                <w:szCs w:val="24"/>
                <w:highlight w:val="none"/>
              </w:rPr>
            </w:pPr>
          </w:p>
        </w:tc>
        <w:tc>
          <w:tcPr>
            <w:tcW w:w="1091" w:type="dxa"/>
            <w:vAlign w:val="center"/>
          </w:tcPr>
          <w:p w14:paraId="24EB17D8">
            <w:pPr>
              <w:jc w:val="center"/>
              <w:rPr>
                <w:rFonts w:ascii="宋体" w:hAnsi="宋体" w:cs="宋体"/>
                <w:bCs/>
                <w:sz w:val="24"/>
                <w:szCs w:val="24"/>
                <w:highlight w:val="none"/>
              </w:rPr>
            </w:pPr>
          </w:p>
        </w:tc>
        <w:tc>
          <w:tcPr>
            <w:tcW w:w="1821" w:type="dxa"/>
            <w:vAlign w:val="center"/>
          </w:tcPr>
          <w:p w14:paraId="4E0FDB0D">
            <w:pPr>
              <w:jc w:val="center"/>
              <w:rPr>
                <w:rFonts w:ascii="宋体" w:hAnsi="宋体" w:cs="宋体"/>
                <w:bCs/>
                <w:sz w:val="24"/>
                <w:szCs w:val="24"/>
                <w:highlight w:val="none"/>
              </w:rPr>
            </w:pPr>
          </w:p>
        </w:tc>
      </w:tr>
      <w:tr w14:paraId="6300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0A29CC04">
            <w:pPr>
              <w:jc w:val="center"/>
              <w:rPr>
                <w:rFonts w:ascii="宋体" w:hAnsi="宋体" w:cs="宋体"/>
                <w:bCs/>
                <w:sz w:val="24"/>
                <w:szCs w:val="24"/>
                <w:highlight w:val="none"/>
              </w:rPr>
            </w:pPr>
          </w:p>
        </w:tc>
        <w:tc>
          <w:tcPr>
            <w:tcW w:w="4078" w:type="dxa"/>
            <w:vAlign w:val="center"/>
          </w:tcPr>
          <w:p w14:paraId="539B36DD">
            <w:pPr>
              <w:jc w:val="center"/>
              <w:rPr>
                <w:rFonts w:ascii="宋体" w:hAnsi="宋体" w:cs="宋体"/>
                <w:bCs/>
                <w:sz w:val="24"/>
                <w:szCs w:val="24"/>
                <w:highlight w:val="none"/>
              </w:rPr>
            </w:pPr>
            <w:r>
              <w:rPr>
                <w:rFonts w:hint="eastAsia" w:ascii="宋体" w:hAnsi="宋体" w:cs="宋体"/>
                <w:bCs/>
                <w:sz w:val="24"/>
                <w:szCs w:val="24"/>
                <w:highlight w:val="none"/>
              </w:rPr>
              <w:t>……</w:t>
            </w:r>
          </w:p>
        </w:tc>
        <w:tc>
          <w:tcPr>
            <w:tcW w:w="1214" w:type="dxa"/>
            <w:vAlign w:val="center"/>
          </w:tcPr>
          <w:p w14:paraId="27F01E98">
            <w:pPr>
              <w:jc w:val="center"/>
              <w:rPr>
                <w:rFonts w:ascii="宋体" w:hAnsi="宋体" w:cs="宋体"/>
                <w:bCs/>
                <w:sz w:val="24"/>
                <w:szCs w:val="24"/>
                <w:highlight w:val="none"/>
              </w:rPr>
            </w:pPr>
          </w:p>
        </w:tc>
        <w:tc>
          <w:tcPr>
            <w:tcW w:w="1091" w:type="dxa"/>
            <w:vAlign w:val="center"/>
          </w:tcPr>
          <w:p w14:paraId="68586ED5">
            <w:pPr>
              <w:jc w:val="center"/>
              <w:rPr>
                <w:rFonts w:ascii="宋体" w:hAnsi="宋体" w:cs="宋体"/>
                <w:bCs/>
                <w:sz w:val="24"/>
                <w:szCs w:val="24"/>
                <w:highlight w:val="none"/>
              </w:rPr>
            </w:pPr>
          </w:p>
        </w:tc>
        <w:tc>
          <w:tcPr>
            <w:tcW w:w="1821" w:type="dxa"/>
            <w:vAlign w:val="center"/>
          </w:tcPr>
          <w:p w14:paraId="56AB38D3">
            <w:pPr>
              <w:jc w:val="center"/>
              <w:rPr>
                <w:rFonts w:ascii="宋体" w:hAnsi="宋体" w:cs="宋体"/>
                <w:bCs/>
                <w:sz w:val="24"/>
                <w:szCs w:val="24"/>
                <w:highlight w:val="none"/>
              </w:rPr>
            </w:pPr>
          </w:p>
        </w:tc>
      </w:tr>
      <w:tr w14:paraId="02A7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23" w:type="dxa"/>
            <w:gridSpan w:val="4"/>
            <w:vAlign w:val="center"/>
          </w:tcPr>
          <w:p w14:paraId="28DC35AE">
            <w:pPr>
              <w:jc w:val="center"/>
              <w:rPr>
                <w:rFonts w:ascii="宋体" w:hAnsi="宋体" w:cs="宋体"/>
                <w:bCs/>
                <w:sz w:val="24"/>
                <w:szCs w:val="24"/>
                <w:highlight w:val="none"/>
              </w:rPr>
            </w:pPr>
            <w:r>
              <w:rPr>
                <w:rFonts w:hint="eastAsia" w:ascii="宋体" w:hAnsi="宋体" w:cs="宋体"/>
                <w:b/>
                <w:sz w:val="24"/>
                <w:szCs w:val="24"/>
                <w:highlight w:val="none"/>
              </w:rPr>
              <w:t>合计金额（元）</w:t>
            </w:r>
          </w:p>
        </w:tc>
        <w:tc>
          <w:tcPr>
            <w:tcW w:w="1821" w:type="dxa"/>
            <w:vAlign w:val="center"/>
          </w:tcPr>
          <w:p w14:paraId="04906358">
            <w:pPr>
              <w:jc w:val="center"/>
              <w:rPr>
                <w:rFonts w:ascii="宋体" w:hAnsi="宋体" w:cs="宋体"/>
                <w:bCs/>
                <w:sz w:val="24"/>
                <w:szCs w:val="24"/>
                <w:highlight w:val="none"/>
              </w:rPr>
            </w:pPr>
          </w:p>
        </w:tc>
      </w:tr>
    </w:tbl>
    <w:p w14:paraId="18161BE6">
      <w:pPr>
        <w:pStyle w:val="17"/>
        <w:spacing w:line="360" w:lineRule="auto"/>
        <w:rPr>
          <w:rFonts w:ascii="宋体" w:hAnsi="宋体" w:eastAsia="宋体" w:cs="宋体"/>
          <w:b/>
          <w:bCs/>
          <w:sz w:val="24"/>
          <w:highlight w:val="none"/>
        </w:rPr>
      </w:pPr>
    </w:p>
    <w:p w14:paraId="25E598BC">
      <w:pPr>
        <w:pStyle w:val="17"/>
        <w:spacing w:line="560" w:lineRule="exact"/>
        <w:rPr>
          <w:rFonts w:ascii="宋体" w:hAnsi="宋体" w:eastAsia="宋体" w:cs="宋体"/>
          <w:b/>
          <w:bCs/>
          <w:sz w:val="24"/>
          <w:szCs w:val="28"/>
          <w:highlight w:val="none"/>
        </w:rPr>
      </w:pPr>
      <w:r>
        <w:rPr>
          <w:rFonts w:hint="eastAsia" w:ascii="宋体" w:hAnsi="宋体" w:eastAsia="宋体" w:cs="宋体"/>
          <w:b/>
          <w:bCs/>
          <w:sz w:val="24"/>
          <w:highlight w:val="none"/>
        </w:rPr>
        <w:t>供应商</w:t>
      </w:r>
      <w:r>
        <w:rPr>
          <w:rFonts w:hint="eastAsia" w:ascii="宋体" w:hAnsi="宋体" w:eastAsia="宋体" w:cs="宋体"/>
          <w:b/>
          <w:bCs/>
          <w:sz w:val="24"/>
          <w:highlight w:val="none"/>
          <w:lang w:eastAsia="zh-CN"/>
        </w:rPr>
        <w:t>公章</w:t>
      </w:r>
      <w:r>
        <w:rPr>
          <w:rFonts w:hint="eastAsia" w:ascii="宋体" w:hAnsi="宋体" w:eastAsia="宋体" w:cs="宋体"/>
          <w:b/>
          <w:bCs/>
          <w:sz w:val="24"/>
          <w:highlight w:val="none"/>
        </w:rPr>
        <w:t>：</w:t>
      </w:r>
    </w:p>
    <w:p w14:paraId="719627BD">
      <w:pPr>
        <w:adjustRightInd w:val="0"/>
        <w:snapToGrid w:val="0"/>
        <w:spacing w:line="560" w:lineRule="exact"/>
        <w:rPr>
          <w:rFonts w:ascii="宋体" w:hAnsi="宋体" w:cs="宋体"/>
          <w:b/>
          <w:bCs/>
          <w:sz w:val="24"/>
          <w:szCs w:val="28"/>
          <w:highlight w:val="none"/>
        </w:rPr>
      </w:pPr>
      <w:r>
        <w:rPr>
          <w:rFonts w:hint="eastAsia" w:ascii="宋体" w:hAnsi="宋体" w:cs="宋体"/>
          <w:b/>
          <w:bCs/>
          <w:sz w:val="24"/>
          <w:szCs w:val="28"/>
          <w:highlight w:val="none"/>
        </w:rPr>
        <w:t>日  期：   年   月   日</w:t>
      </w:r>
    </w:p>
    <w:p w14:paraId="72AD13AA">
      <w:pPr>
        <w:adjustRightInd w:val="0"/>
        <w:snapToGrid w:val="0"/>
        <w:spacing w:line="360" w:lineRule="auto"/>
        <w:rPr>
          <w:rFonts w:ascii="宋体" w:hAnsi="宋体" w:cs="宋体"/>
          <w:b/>
          <w:bCs/>
          <w:sz w:val="24"/>
          <w:szCs w:val="28"/>
          <w:highlight w:val="none"/>
        </w:rPr>
      </w:pPr>
    </w:p>
    <w:p w14:paraId="498FD569">
      <w:pPr>
        <w:adjustRightInd w:val="0"/>
        <w:snapToGrid w:val="0"/>
        <w:spacing w:line="360" w:lineRule="auto"/>
        <w:rPr>
          <w:rFonts w:ascii="宋体" w:hAnsi="宋体" w:cs="宋体"/>
          <w:b/>
          <w:sz w:val="24"/>
          <w:szCs w:val="24"/>
          <w:highlight w:val="none"/>
        </w:rPr>
      </w:pPr>
      <w:bookmarkStart w:id="119" w:name="_Toc2007"/>
      <w:bookmarkStart w:id="120" w:name="_Toc16998"/>
    </w:p>
    <w:p w14:paraId="4F9043EC">
      <w:pPr>
        <w:adjustRightInd w:val="0"/>
        <w:snapToGrid w:val="0"/>
        <w:spacing w:line="360" w:lineRule="auto"/>
        <w:rPr>
          <w:rFonts w:ascii="宋体" w:hAnsi="宋体" w:cs="宋体"/>
          <w:b/>
          <w:sz w:val="24"/>
          <w:szCs w:val="24"/>
          <w:highlight w:val="none"/>
        </w:rPr>
      </w:pPr>
      <w:r>
        <w:rPr>
          <w:rFonts w:hint="eastAsia" w:ascii="宋体" w:hAnsi="宋体" w:cs="宋体"/>
          <w:b/>
          <w:sz w:val="24"/>
          <w:szCs w:val="24"/>
          <w:highlight w:val="none"/>
        </w:rPr>
        <w:t>注：表中所列服务为对应本项目需求的全部服务内容。如有漏项或缺项，供应商承担全部责任。</w:t>
      </w:r>
    </w:p>
    <w:p w14:paraId="1790FA5D">
      <w:pPr>
        <w:wordWrap w:val="0"/>
        <w:spacing w:before="0" w:after="0" w:line="520" w:lineRule="exact"/>
        <w:outlineLvl w:val="9"/>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21" w:name="_Toc22855"/>
      <w:r>
        <w:rPr>
          <w:rFonts w:hint="eastAsia" w:ascii="宋体" w:hAnsi="宋体" w:eastAsia="宋体" w:cs="宋体"/>
          <w:b/>
          <w:bCs/>
          <w:sz w:val="24"/>
          <w:szCs w:val="24"/>
          <w:highlight w:val="none"/>
        </w:rPr>
        <w:t>附件二</w:t>
      </w:r>
      <w:bookmarkEnd w:id="119"/>
      <w:bookmarkEnd w:id="120"/>
      <w:bookmarkEnd w:id="121"/>
    </w:p>
    <w:p w14:paraId="198DFB7F">
      <w:pPr>
        <w:pStyle w:val="3"/>
        <w:spacing w:before="0" w:after="0" w:line="520" w:lineRule="exact"/>
        <w:jc w:val="center"/>
        <w:rPr>
          <w:rFonts w:ascii="宋体" w:hAnsi="宋体" w:eastAsia="宋体" w:cs="宋体"/>
          <w:sz w:val="24"/>
          <w:szCs w:val="24"/>
          <w:highlight w:val="none"/>
        </w:rPr>
      </w:pPr>
      <w:bookmarkStart w:id="122" w:name="_Toc29464"/>
      <w:bookmarkStart w:id="123" w:name="_Toc3262"/>
      <w:bookmarkStart w:id="124" w:name="_Toc17280"/>
      <w:r>
        <w:rPr>
          <w:rFonts w:hint="eastAsia" w:ascii="宋体" w:hAnsi="宋体" w:eastAsia="宋体" w:cs="宋体"/>
          <w:sz w:val="24"/>
          <w:szCs w:val="24"/>
          <w:highlight w:val="none"/>
        </w:rPr>
        <w:t>供应商基本信息</w:t>
      </w:r>
      <w:bookmarkEnd w:id="122"/>
      <w:bookmarkEnd w:id="123"/>
      <w:bookmarkEnd w:id="124"/>
    </w:p>
    <w:p w14:paraId="761613D5">
      <w:pPr>
        <w:pStyle w:val="33"/>
        <w:spacing w:after="0" w:line="520" w:lineRule="exact"/>
        <w:ind w:firstLine="0"/>
        <w:jc w:val="center"/>
        <w:rPr>
          <w:rFonts w:ascii="宋体" w:hAnsi="宋体" w:cs="宋体"/>
          <w:highlight w:val="none"/>
        </w:rPr>
      </w:pPr>
      <w:r>
        <w:rPr>
          <w:rFonts w:hint="eastAsia" w:ascii="宋体" w:hAnsi="宋体" w:cs="宋体"/>
          <w:highlight w:val="none"/>
        </w:rPr>
        <w:t>（自行</w:t>
      </w:r>
      <w:r>
        <w:rPr>
          <w:rFonts w:hint="eastAsia" w:ascii="宋体" w:hAnsi="宋体" w:cs="宋体"/>
          <w:highlight w:val="none"/>
          <w:lang w:val="en-US" w:eastAsia="zh-CN"/>
        </w:rPr>
        <w:t>编辑</w:t>
      </w:r>
      <w:r>
        <w:rPr>
          <w:rFonts w:hint="eastAsia" w:ascii="宋体" w:hAnsi="宋体" w:cs="宋体"/>
          <w:highlight w:val="none"/>
        </w:rPr>
        <w:t>）</w:t>
      </w:r>
    </w:p>
    <w:p w14:paraId="4C4DC0B3">
      <w:pPr>
        <w:wordWrap w:val="0"/>
        <w:spacing w:before="0" w:after="0" w:line="520" w:lineRule="exact"/>
        <w:outlineLvl w:val="9"/>
        <w:rPr>
          <w:rFonts w:ascii="宋体" w:hAnsi="宋体" w:eastAsia="宋体" w:cs="宋体"/>
          <w:b/>
          <w:bCs/>
          <w:sz w:val="24"/>
          <w:szCs w:val="24"/>
          <w:highlight w:val="none"/>
        </w:rPr>
      </w:pPr>
      <w:bookmarkStart w:id="125" w:name="_Toc11062"/>
      <w:bookmarkStart w:id="126" w:name="_Toc10154"/>
      <w:bookmarkStart w:id="127" w:name="_Toc18369"/>
      <w:r>
        <w:rPr>
          <w:rFonts w:hint="eastAsia" w:ascii="宋体" w:hAnsi="宋体" w:eastAsia="宋体" w:cs="宋体"/>
          <w:b/>
          <w:bCs/>
          <w:sz w:val="24"/>
          <w:szCs w:val="24"/>
          <w:highlight w:val="none"/>
        </w:rPr>
        <w:t>附件三</w:t>
      </w:r>
      <w:bookmarkEnd w:id="125"/>
      <w:bookmarkEnd w:id="126"/>
      <w:bookmarkEnd w:id="127"/>
    </w:p>
    <w:p w14:paraId="3E832E79">
      <w:pPr>
        <w:pStyle w:val="3"/>
        <w:spacing w:before="0" w:after="0" w:line="520" w:lineRule="exact"/>
        <w:jc w:val="center"/>
        <w:rPr>
          <w:rFonts w:ascii="宋体" w:hAnsi="宋体" w:eastAsia="宋体" w:cs="宋体"/>
          <w:sz w:val="24"/>
          <w:szCs w:val="24"/>
          <w:highlight w:val="none"/>
        </w:rPr>
      </w:pPr>
      <w:bookmarkStart w:id="128" w:name="_Toc13141"/>
      <w:bookmarkStart w:id="129" w:name="_Toc10696"/>
      <w:bookmarkStart w:id="130" w:name="_Toc30135"/>
      <w:r>
        <w:rPr>
          <w:rFonts w:hint="eastAsia" w:ascii="宋体" w:hAnsi="宋体" w:eastAsia="宋体" w:cs="宋体"/>
          <w:sz w:val="24"/>
          <w:szCs w:val="24"/>
          <w:highlight w:val="none"/>
        </w:rPr>
        <w:t>磋商授权书</w:t>
      </w:r>
      <w:bookmarkEnd w:id="128"/>
      <w:bookmarkEnd w:id="129"/>
      <w:bookmarkEnd w:id="130"/>
    </w:p>
    <w:p w14:paraId="71F6FE98">
      <w:pPr>
        <w:spacing w:line="520" w:lineRule="exact"/>
        <w:rPr>
          <w:rFonts w:ascii="宋体" w:hAnsi="宋体" w:cs="宋体"/>
          <w:sz w:val="24"/>
          <w:szCs w:val="24"/>
          <w:highlight w:val="none"/>
        </w:rPr>
      </w:pPr>
    </w:p>
    <w:p w14:paraId="0076166A">
      <w:pPr>
        <w:spacing w:line="520" w:lineRule="exact"/>
        <w:jc w:val="left"/>
        <w:rPr>
          <w:rFonts w:ascii="宋体" w:hAnsi="宋体" w:cs="宋体"/>
          <w:sz w:val="24"/>
          <w:szCs w:val="24"/>
          <w:highlight w:val="none"/>
        </w:rPr>
      </w:pPr>
      <w:r>
        <w:rPr>
          <w:rFonts w:hint="eastAsia" w:ascii="宋体" w:hAnsi="宋体" w:cs="宋体"/>
          <w:sz w:val="24"/>
          <w:szCs w:val="24"/>
          <w:highlight w:val="none"/>
        </w:rPr>
        <w:t>致：_________________</w:t>
      </w:r>
    </w:p>
    <w:p w14:paraId="1FEBB759">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本授权书声明：</w:t>
      </w:r>
      <w:r>
        <w:rPr>
          <w:rFonts w:hint="eastAsia" w:ascii="宋体" w:hAnsi="宋体" w:cs="宋体"/>
          <w:sz w:val="24"/>
          <w:szCs w:val="24"/>
          <w:highlight w:val="none"/>
          <w:u w:val="single"/>
        </w:rPr>
        <w:t xml:space="preserve">                </w:t>
      </w:r>
      <w:r>
        <w:rPr>
          <w:rFonts w:hint="eastAsia" w:ascii="宋体" w:hAnsi="宋体" w:cs="宋体"/>
          <w:sz w:val="24"/>
          <w:szCs w:val="24"/>
          <w:highlight w:val="none"/>
        </w:rPr>
        <w:t>（供应商名称）的</w:t>
      </w:r>
      <w:r>
        <w:rPr>
          <w:rFonts w:hint="eastAsia" w:ascii="宋体" w:hAnsi="宋体" w:cs="宋体"/>
          <w:sz w:val="24"/>
          <w:szCs w:val="24"/>
          <w:highlight w:val="none"/>
          <w:u w:val="single"/>
        </w:rPr>
        <w:t xml:space="preserve">        </w:t>
      </w:r>
      <w:r>
        <w:rPr>
          <w:rFonts w:hint="eastAsia" w:ascii="宋体" w:hAnsi="宋体" w:cs="宋体"/>
          <w:sz w:val="24"/>
          <w:szCs w:val="24"/>
          <w:highlight w:val="none"/>
        </w:rPr>
        <w:t>（法定代表人姓名）授权</w:t>
      </w:r>
      <w:r>
        <w:rPr>
          <w:rFonts w:hint="eastAsia" w:ascii="宋体" w:hAnsi="宋体" w:cs="宋体"/>
          <w:sz w:val="24"/>
          <w:szCs w:val="24"/>
          <w:highlight w:val="none"/>
          <w:u w:val="single"/>
        </w:rPr>
        <w:t xml:space="preserve">         </w:t>
      </w:r>
      <w:r>
        <w:rPr>
          <w:rFonts w:hint="eastAsia" w:ascii="宋体" w:hAnsi="宋体" w:cs="宋体"/>
          <w:sz w:val="24"/>
          <w:szCs w:val="24"/>
          <w:highlight w:val="none"/>
        </w:rPr>
        <w:t>（被授权人的姓名）为我方就</w:t>
      </w:r>
      <w:r>
        <w:rPr>
          <w:rFonts w:hint="eastAsia" w:ascii="宋体" w:hAnsi="宋体" w:cs="宋体"/>
          <w:sz w:val="24"/>
          <w:szCs w:val="24"/>
          <w:highlight w:val="none"/>
          <w:u w:val="single"/>
        </w:rPr>
        <w:t xml:space="preserve">         </w:t>
      </w:r>
      <w:r>
        <w:rPr>
          <w:rFonts w:hint="eastAsia" w:ascii="宋体" w:hAnsi="宋体" w:cs="宋体"/>
          <w:sz w:val="24"/>
          <w:szCs w:val="24"/>
          <w:highlight w:val="none"/>
        </w:rPr>
        <w:t>（编号：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）项目磋商活动的合法代理人，以我方名义全权处理与该项目磋商、签订合同以及合同执行有关的一切事务。</w:t>
      </w:r>
    </w:p>
    <w:p w14:paraId="50CB4B53">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特此声明。</w:t>
      </w:r>
    </w:p>
    <w:p w14:paraId="52DAD7E3">
      <w:pPr>
        <w:spacing w:line="520" w:lineRule="exact"/>
        <w:jc w:val="left"/>
        <w:rPr>
          <w:rFonts w:ascii="宋体" w:hAnsi="宋体" w:cs="宋体"/>
          <w:sz w:val="24"/>
          <w:szCs w:val="24"/>
          <w:highlight w:val="none"/>
        </w:rPr>
      </w:pPr>
    </w:p>
    <w:p w14:paraId="4278505A">
      <w:pPr>
        <w:spacing w:line="520" w:lineRule="exact"/>
        <w:ind w:firstLine="1084" w:firstLineChars="450"/>
        <w:jc w:val="left"/>
        <w:rPr>
          <w:rFonts w:ascii="宋体" w:hAnsi="宋体" w:cs="宋体"/>
          <w:sz w:val="24"/>
          <w:szCs w:val="24"/>
          <w:highlight w:val="none"/>
          <w:u w:val="single"/>
        </w:rPr>
      </w:pPr>
      <w:r>
        <w:rPr>
          <w:rFonts w:hint="eastAsia" w:ascii="宋体" w:hAnsi="宋体" w:cs="宋体"/>
          <w:b/>
          <w:bCs/>
          <w:sz w:val="24"/>
          <w:szCs w:val="24"/>
          <w:highlight w:val="none"/>
        </w:rPr>
        <w:t>法定代表人签字：</w:t>
      </w:r>
      <w:r>
        <w:rPr>
          <w:rFonts w:hint="eastAsia" w:ascii="宋体" w:hAnsi="宋体" w:cs="宋体"/>
          <w:sz w:val="24"/>
          <w:szCs w:val="24"/>
          <w:highlight w:val="none"/>
          <w:u w:val="single"/>
        </w:rPr>
        <w:t xml:space="preserve">                            </w:t>
      </w:r>
    </w:p>
    <w:p w14:paraId="7E11B681">
      <w:pPr>
        <w:spacing w:line="520" w:lineRule="exact"/>
        <w:jc w:val="left"/>
        <w:rPr>
          <w:rFonts w:ascii="宋体" w:hAnsi="宋体" w:cs="宋体"/>
          <w:sz w:val="24"/>
          <w:szCs w:val="24"/>
          <w:highlight w:val="none"/>
          <w:u w:val="single"/>
        </w:rPr>
      </w:pPr>
      <w:r>
        <w:rPr>
          <w:rFonts w:hint="eastAsia" w:ascii="宋体" w:hAnsi="宋体" w:cs="宋体"/>
          <w:sz w:val="24"/>
          <w:szCs w:val="24"/>
          <w:highlight w:val="none"/>
        </w:rPr>
        <w:t xml:space="preserve">          职    务：</w:t>
      </w:r>
      <w:r>
        <w:rPr>
          <w:rFonts w:hint="eastAsia" w:ascii="宋体" w:hAnsi="宋体" w:cs="宋体"/>
          <w:sz w:val="24"/>
          <w:szCs w:val="24"/>
          <w:highlight w:val="none"/>
          <w:u w:val="single"/>
        </w:rPr>
        <w:t xml:space="preserve">                        </w:t>
      </w:r>
    </w:p>
    <w:p w14:paraId="18905256">
      <w:pPr>
        <w:spacing w:line="520" w:lineRule="exact"/>
        <w:jc w:val="left"/>
        <w:rPr>
          <w:rFonts w:ascii="宋体" w:hAnsi="宋体" w:cs="宋体"/>
          <w:sz w:val="24"/>
          <w:szCs w:val="24"/>
          <w:highlight w:val="none"/>
          <w:u w:val="single"/>
        </w:rPr>
      </w:pPr>
      <w:r>
        <w:rPr>
          <w:rFonts w:hint="eastAsia" w:ascii="宋体" w:hAnsi="宋体" w:cs="宋体"/>
          <w:sz w:val="24"/>
          <w:szCs w:val="24"/>
          <w:highlight w:val="none"/>
        </w:rPr>
        <w:t xml:space="preserve">          联系手机：</w:t>
      </w:r>
      <w:r>
        <w:rPr>
          <w:rFonts w:hint="eastAsia" w:ascii="宋体" w:hAnsi="宋体" w:cs="宋体"/>
          <w:sz w:val="24"/>
          <w:szCs w:val="24"/>
          <w:highlight w:val="none"/>
          <w:u w:val="single"/>
        </w:rPr>
        <w:t xml:space="preserve">                        </w:t>
      </w:r>
    </w:p>
    <w:p w14:paraId="701A0DEB">
      <w:pPr>
        <w:spacing w:line="520" w:lineRule="exact"/>
        <w:ind w:firstLine="1200" w:firstLineChars="500"/>
        <w:jc w:val="left"/>
        <w:rPr>
          <w:rFonts w:ascii="宋体" w:hAnsi="宋体" w:cs="宋体"/>
          <w:sz w:val="24"/>
          <w:szCs w:val="24"/>
          <w:highlight w:val="none"/>
          <w:u w:val="single"/>
        </w:rPr>
      </w:pPr>
      <w:r>
        <w:rPr>
          <w:rFonts w:hint="eastAsia" w:ascii="宋体" w:hAnsi="宋体" w:cs="宋体"/>
          <w:sz w:val="24"/>
          <w:szCs w:val="24"/>
          <w:highlight w:val="none"/>
        </w:rPr>
        <w:t>固定电话：</w:t>
      </w:r>
      <w:r>
        <w:rPr>
          <w:rFonts w:hint="eastAsia" w:ascii="宋体" w:hAnsi="宋体" w:cs="宋体"/>
          <w:sz w:val="24"/>
          <w:szCs w:val="24"/>
          <w:highlight w:val="none"/>
          <w:u w:val="single"/>
        </w:rPr>
        <w:t xml:space="preserve">                         </w:t>
      </w:r>
    </w:p>
    <w:p w14:paraId="46894F2A">
      <w:pPr>
        <w:spacing w:line="520" w:lineRule="exact"/>
        <w:ind w:firstLine="1084" w:firstLineChars="450"/>
        <w:jc w:val="left"/>
        <w:rPr>
          <w:rFonts w:ascii="宋体" w:hAnsi="宋体" w:cs="宋体"/>
          <w:b/>
          <w:bCs/>
          <w:sz w:val="24"/>
          <w:szCs w:val="24"/>
          <w:highlight w:val="none"/>
        </w:rPr>
      </w:pPr>
    </w:p>
    <w:p w14:paraId="5D172124">
      <w:pPr>
        <w:spacing w:line="520" w:lineRule="exact"/>
        <w:ind w:firstLine="1084" w:firstLineChars="450"/>
        <w:jc w:val="left"/>
        <w:rPr>
          <w:rFonts w:ascii="宋体" w:hAnsi="宋体" w:cs="宋体"/>
          <w:sz w:val="24"/>
          <w:szCs w:val="24"/>
          <w:highlight w:val="none"/>
        </w:rPr>
      </w:pPr>
      <w:r>
        <w:rPr>
          <w:rFonts w:hint="eastAsia" w:ascii="宋体" w:hAnsi="宋体" w:cs="宋体"/>
          <w:b/>
          <w:bCs/>
          <w:sz w:val="24"/>
          <w:szCs w:val="24"/>
          <w:highlight w:val="none"/>
        </w:rPr>
        <w:t>代理人（被授权人）：</w:t>
      </w:r>
      <w:r>
        <w:rPr>
          <w:rFonts w:hint="eastAsia" w:ascii="宋体" w:hAnsi="宋体" w:cs="宋体"/>
          <w:sz w:val="24"/>
          <w:szCs w:val="24"/>
          <w:highlight w:val="none"/>
          <w:u w:val="single"/>
        </w:rPr>
        <w:t xml:space="preserve">                     </w:t>
      </w:r>
    </w:p>
    <w:p w14:paraId="25FDDB1A">
      <w:pPr>
        <w:spacing w:line="520" w:lineRule="exact"/>
        <w:jc w:val="left"/>
        <w:rPr>
          <w:rFonts w:ascii="宋体" w:hAnsi="宋体" w:cs="宋体"/>
          <w:sz w:val="24"/>
          <w:szCs w:val="24"/>
          <w:highlight w:val="none"/>
        </w:rPr>
      </w:pPr>
      <w:r>
        <w:rPr>
          <w:rFonts w:hint="eastAsia" w:ascii="宋体" w:hAnsi="宋体" w:cs="宋体"/>
          <w:sz w:val="24"/>
          <w:szCs w:val="24"/>
          <w:highlight w:val="none"/>
        </w:rPr>
        <w:t xml:space="preserve">          职    务：</w:t>
      </w:r>
      <w:r>
        <w:rPr>
          <w:rFonts w:hint="eastAsia" w:ascii="宋体" w:hAnsi="宋体" w:cs="宋体"/>
          <w:sz w:val="24"/>
          <w:szCs w:val="24"/>
          <w:highlight w:val="none"/>
          <w:u w:val="single"/>
        </w:rPr>
        <w:t xml:space="preserve">                         </w:t>
      </w:r>
    </w:p>
    <w:p w14:paraId="064692FE">
      <w:pPr>
        <w:spacing w:line="520" w:lineRule="exact"/>
        <w:jc w:val="left"/>
        <w:rPr>
          <w:rFonts w:ascii="宋体" w:hAnsi="宋体" w:cs="宋体"/>
          <w:sz w:val="24"/>
          <w:szCs w:val="24"/>
          <w:highlight w:val="none"/>
          <w:u w:val="single"/>
        </w:rPr>
      </w:pPr>
      <w:r>
        <w:rPr>
          <w:rFonts w:hint="eastAsia" w:ascii="宋体" w:hAnsi="宋体" w:cs="宋体"/>
          <w:sz w:val="24"/>
          <w:szCs w:val="24"/>
          <w:highlight w:val="none"/>
        </w:rPr>
        <w:t xml:space="preserve">          联系手机：</w:t>
      </w:r>
      <w:r>
        <w:rPr>
          <w:rFonts w:hint="eastAsia" w:ascii="宋体" w:hAnsi="宋体" w:cs="宋体"/>
          <w:sz w:val="24"/>
          <w:szCs w:val="24"/>
          <w:highlight w:val="none"/>
          <w:u w:val="single"/>
        </w:rPr>
        <w:t xml:space="preserve">                          </w:t>
      </w:r>
    </w:p>
    <w:p w14:paraId="2088672B">
      <w:pPr>
        <w:spacing w:line="520" w:lineRule="exact"/>
        <w:ind w:firstLine="1200" w:firstLineChars="500"/>
        <w:jc w:val="left"/>
        <w:rPr>
          <w:rFonts w:ascii="宋体" w:hAnsi="宋体" w:cs="宋体"/>
          <w:sz w:val="24"/>
          <w:szCs w:val="24"/>
          <w:highlight w:val="none"/>
          <w:u w:val="single"/>
        </w:rPr>
      </w:pPr>
      <w:r>
        <w:rPr>
          <w:rFonts w:hint="eastAsia" w:ascii="宋体" w:hAnsi="宋体" w:cs="宋体"/>
          <w:sz w:val="24"/>
          <w:szCs w:val="24"/>
          <w:highlight w:val="none"/>
        </w:rPr>
        <w:t>固定电话：</w:t>
      </w:r>
      <w:r>
        <w:rPr>
          <w:rFonts w:hint="eastAsia" w:ascii="宋体" w:hAnsi="宋体" w:cs="宋体"/>
          <w:sz w:val="24"/>
          <w:szCs w:val="24"/>
          <w:highlight w:val="none"/>
          <w:u w:val="single"/>
        </w:rPr>
        <w:t xml:space="preserve">                          </w:t>
      </w:r>
    </w:p>
    <w:p w14:paraId="259EF433">
      <w:pPr>
        <w:spacing w:line="520" w:lineRule="exact"/>
        <w:jc w:val="left"/>
        <w:rPr>
          <w:rFonts w:ascii="宋体" w:hAnsi="宋体" w:cs="宋体"/>
          <w:sz w:val="24"/>
          <w:szCs w:val="24"/>
          <w:highlight w:val="none"/>
        </w:rPr>
      </w:pPr>
    </w:p>
    <w:p w14:paraId="0582FC45">
      <w:pPr>
        <w:spacing w:line="520" w:lineRule="exact"/>
        <w:ind w:firstLine="4245" w:firstLineChars="1762"/>
        <w:rPr>
          <w:rFonts w:ascii="宋体" w:hAnsi="宋体" w:cs="宋体"/>
          <w:b/>
          <w:bCs/>
          <w:sz w:val="24"/>
          <w:szCs w:val="24"/>
          <w:highlight w:val="none"/>
          <w:u w:val="singl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30D33138">
      <w:pPr>
        <w:tabs>
          <w:tab w:val="left" w:pos="630"/>
        </w:tabs>
        <w:spacing w:line="520" w:lineRule="exact"/>
        <w:ind w:firstLine="4245" w:firstLineChars="1762"/>
        <w:rPr>
          <w:rFonts w:hint="eastAsia" w:ascii="宋体" w:hAnsi="宋体" w:cs="宋体"/>
          <w:b/>
          <w:bCs/>
          <w:sz w:val="24"/>
          <w:szCs w:val="24"/>
          <w:highlight w:val="none"/>
        </w:rPr>
      </w:pPr>
      <w:r>
        <w:rPr>
          <w:rFonts w:hint="eastAsia" w:ascii="宋体" w:hAnsi="宋体" w:cs="宋体"/>
          <w:b/>
          <w:bCs/>
          <w:sz w:val="24"/>
          <w:szCs w:val="24"/>
          <w:highlight w:val="none"/>
        </w:rPr>
        <w:t>日期：</w:t>
      </w:r>
    </w:p>
    <w:p w14:paraId="2318747A">
      <w:pPr>
        <w:tabs>
          <w:tab w:val="left" w:pos="630"/>
        </w:tabs>
        <w:spacing w:line="520" w:lineRule="exact"/>
        <w:rPr>
          <w:rFonts w:hint="default"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附件：</w:t>
      </w:r>
      <w:r>
        <w:rPr>
          <w:rFonts w:hint="eastAsia" w:ascii="宋体" w:hAnsi="宋体" w:cs="宋体"/>
          <w:b/>
          <w:bCs/>
          <w:sz w:val="24"/>
          <w:szCs w:val="24"/>
          <w:highlight w:val="none"/>
        </w:rPr>
        <w:t>法定代表人</w:t>
      </w:r>
      <w:r>
        <w:rPr>
          <w:rFonts w:hint="eastAsia" w:ascii="宋体" w:hAnsi="宋体" w:cs="宋体"/>
          <w:b/>
          <w:bCs/>
          <w:sz w:val="24"/>
          <w:szCs w:val="24"/>
          <w:highlight w:val="none"/>
          <w:lang w:val="en-US" w:eastAsia="zh-CN"/>
        </w:rPr>
        <w:t>及</w:t>
      </w:r>
      <w:r>
        <w:rPr>
          <w:rFonts w:hint="eastAsia" w:ascii="宋体" w:hAnsi="宋体" w:cs="宋体"/>
          <w:b/>
          <w:bCs/>
          <w:sz w:val="24"/>
          <w:szCs w:val="24"/>
          <w:highlight w:val="none"/>
        </w:rPr>
        <w:t>代理人（被授权人）</w:t>
      </w:r>
      <w:r>
        <w:rPr>
          <w:rFonts w:hint="eastAsia" w:ascii="宋体" w:hAnsi="宋体" w:cs="宋体"/>
          <w:b/>
          <w:bCs/>
          <w:sz w:val="24"/>
          <w:szCs w:val="24"/>
          <w:highlight w:val="none"/>
          <w:lang w:val="en-US" w:eastAsia="zh-CN"/>
        </w:rPr>
        <w:t>身份证复印件</w:t>
      </w:r>
    </w:p>
    <w:p w14:paraId="5DC574AA">
      <w:pPr>
        <w:spacing w:before="0" w:after="0" w:line="560" w:lineRule="exact"/>
        <w:outlineLvl w:val="9"/>
        <w:rPr>
          <w:rFonts w:ascii="宋体" w:hAnsi="宋体" w:eastAsia="宋体" w:cs="宋体"/>
          <w:sz w:val="24"/>
          <w:szCs w:val="24"/>
          <w:highlight w:val="none"/>
        </w:rPr>
      </w:pPr>
      <w:bookmarkStart w:id="131" w:name="_Toc17226"/>
      <w:bookmarkStart w:id="132" w:name="_Toc23589"/>
      <w:r>
        <w:rPr>
          <w:rFonts w:hint="eastAsia" w:ascii="宋体" w:hAnsi="宋体" w:eastAsia="宋体" w:cs="宋体"/>
          <w:sz w:val="24"/>
          <w:szCs w:val="24"/>
          <w:highlight w:val="none"/>
        </w:rPr>
        <w:br w:type="page"/>
      </w:r>
      <w:bookmarkStart w:id="133" w:name="_Toc17888"/>
      <w:r>
        <w:rPr>
          <w:rFonts w:hint="eastAsia" w:ascii="宋体" w:hAnsi="宋体" w:eastAsia="宋体" w:cs="宋体"/>
          <w:sz w:val="24"/>
          <w:szCs w:val="24"/>
          <w:highlight w:val="none"/>
        </w:rPr>
        <w:t>附件四</w:t>
      </w:r>
      <w:bookmarkEnd w:id="131"/>
      <w:bookmarkEnd w:id="132"/>
      <w:bookmarkEnd w:id="133"/>
    </w:p>
    <w:p w14:paraId="01A6441A">
      <w:pPr>
        <w:pStyle w:val="3"/>
        <w:spacing w:before="0" w:after="156" w:afterLines="50" w:line="560" w:lineRule="exact"/>
        <w:jc w:val="center"/>
        <w:rPr>
          <w:rFonts w:ascii="宋体" w:hAnsi="宋体" w:eastAsia="宋体" w:cs="宋体"/>
          <w:sz w:val="24"/>
          <w:szCs w:val="24"/>
          <w:highlight w:val="none"/>
        </w:rPr>
      </w:pPr>
      <w:bookmarkStart w:id="134" w:name="_Toc29263"/>
      <w:bookmarkStart w:id="135" w:name="_Toc6278"/>
      <w:bookmarkStart w:id="136" w:name="_Toc28665"/>
      <w:bookmarkStart w:id="137" w:name="_Toc417045478"/>
      <w:r>
        <w:rPr>
          <w:rFonts w:hint="eastAsia" w:ascii="宋体" w:hAnsi="宋体" w:eastAsia="宋体" w:cs="宋体"/>
          <w:sz w:val="24"/>
          <w:szCs w:val="24"/>
          <w:highlight w:val="none"/>
        </w:rPr>
        <w:t>磋商响应函</w:t>
      </w:r>
      <w:bookmarkEnd w:id="134"/>
      <w:bookmarkEnd w:id="135"/>
      <w:bookmarkEnd w:id="136"/>
    </w:p>
    <w:p w14:paraId="0273F9F8">
      <w:pPr>
        <w:spacing w:line="360" w:lineRule="auto"/>
        <w:rPr>
          <w:rFonts w:ascii="宋体" w:hAnsi="宋体" w:cs="宋体"/>
          <w:sz w:val="24"/>
          <w:szCs w:val="24"/>
          <w:highlight w:val="none"/>
        </w:rPr>
      </w:pPr>
      <w:r>
        <w:rPr>
          <w:rFonts w:hint="eastAsia" w:ascii="宋体" w:hAnsi="宋体" w:cs="宋体"/>
          <w:sz w:val="24"/>
          <w:szCs w:val="24"/>
          <w:highlight w:val="none"/>
        </w:rPr>
        <w:t>致：XXX（</w:t>
      </w:r>
      <w:r>
        <w:rPr>
          <w:rFonts w:hint="eastAsia" w:ascii="宋体" w:hAnsi="宋体" w:cs="宋体"/>
          <w:sz w:val="24"/>
          <w:szCs w:val="24"/>
          <w:highlight w:val="none"/>
          <w:lang w:val="en-US" w:eastAsia="zh-CN"/>
        </w:rPr>
        <w:t>采购人或</w:t>
      </w:r>
      <w:r>
        <w:rPr>
          <w:rFonts w:hint="eastAsia" w:ascii="宋体" w:hAnsi="宋体" w:cs="宋体"/>
          <w:sz w:val="24"/>
          <w:szCs w:val="24"/>
          <w:highlight w:val="none"/>
        </w:rPr>
        <w:t>代理机构名称）</w:t>
      </w:r>
    </w:p>
    <w:p w14:paraId="3E58F1A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1、根据项目编号：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号磋商公告的内容，我方决定参加贵方组织的“</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”项目的竞争性磋商采购。我方授权</w:t>
      </w:r>
      <w:r>
        <w:rPr>
          <w:rFonts w:hint="eastAsia" w:ascii="宋体" w:hAnsi="宋体" w:cs="宋体"/>
          <w:sz w:val="24"/>
          <w:szCs w:val="24"/>
          <w:highlight w:val="none"/>
          <w:u w:val="single"/>
        </w:rPr>
        <w:t xml:space="preserve">         </w:t>
      </w:r>
      <w:r>
        <w:rPr>
          <w:rFonts w:hint="eastAsia" w:ascii="宋体" w:hAnsi="宋体" w:cs="宋体"/>
          <w:sz w:val="24"/>
          <w:szCs w:val="24"/>
          <w:highlight w:val="none"/>
        </w:rPr>
        <w:t>(姓名)代表我方</w:t>
      </w:r>
      <w:r>
        <w:rPr>
          <w:rFonts w:hint="eastAsia" w:ascii="宋体" w:hAnsi="宋体" w:cs="宋体"/>
          <w:sz w:val="24"/>
          <w:szCs w:val="24"/>
          <w:highlight w:val="none"/>
          <w:u w:val="single"/>
        </w:rPr>
        <w:t xml:space="preserve">           </w:t>
      </w:r>
      <w:r>
        <w:rPr>
          <w:rFonts w:hint="eastAsia" w:ascii="宋体" w:hAnsi="宋体" w:cs="宋体"/>
          <w:sz w:val="24"/>
          <w:szCs w:val="24"/>
          <w:highlight w:val="none"/>
        </w:rPr>
        <w:t>（磋商单位的名称）全权处理本项目磋商的有关事宜。</w:t>
      </w:r>
    </w:p>
    <w:p w14:paraId="3B9BAFF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2、我方愿意按照磋商文件规定的各项要求，向采购人提供所需的服务。</w:t>
      </w:r>
    </w:p>
    <w:p w14:paraId="110E418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3、一旦我方成交，我方将严格履行合同规定的责任和义务，保证于采购人要求的日期内完成项目的全部内容，并交付采购人验收、使用。</w:t>
      </w:r>
    </w:p>
    <w:p w14:paraId="1591FDC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4、如我公司成交，我公司承诺愿意按磋商文件规定缴纳履约保证金。</w:t>
      </w:r>
    </w:p>
    <w:p w14:paraId="6DFCF5FE">
      <w:pPr>
        <w:tabs>
          <w:tab w:val="left" w:pos="84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5、我方愿意提供贵方可能另外要求的、与磋商有关的文件资料，并保证我方已提供和将要提供的文件是真实的、准确的。</w:t>
      </w:r>
    </w:p>
    <w:p w14:paraId="20455F90">
      <w:pPr>
        <w:tabs>
          <w:tab w:val="left" w:pos="0"/>
          <w:tab w:val="left" w:pos="84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6、我方完全理解贵方不一定将合同授予最低报价的供应商。</w:t>
      </w:r>
    </w:p>
    <w:p w14:paraId="722B6142">
      <w:pPr>
        <w:tabs>
          <w:tab w:val="left" w:pos="0"/>
          <w:tab w:val="left" w:pos="840"/>
        </w:tabs>
        <w:spacing w:line="360" w:lineRule="auto"/>
        <w:jc w:val="left"/>
        <w:rPr>
          <w:rFonts w:ascii="宋体" w:hAnsi="宋体" w:cs="宋体"/>
          <w:sz w:val="24"/>
          <w:szCs w:val="24"/>
          <w:highlight w:val="none"/>
        </w:rPr>
      </w:pPr>
    </w:p>
    <w:p w14:paraId="0BA2F179">
      <w:pPr>
        <w:tabs>
          <w:tab w:val="left" w:pos="0"/>
          <w:tab w:val="left" w:pos="840"/>
        </w:tabs>
        <w:rPr>
          <w:rFonts w:ascii="宋体" w:hAnsi="宋体" w:cs="宋体"/>
          <w:sz w:val="24"/>
          <w:szCs w:val="24"/>
          <w:highlight w:val="none"/>
        </w:rPr>
      </w:pPr>
    </w:p>
    <w:p w14:paraId="29CF8EA0">
      <w:pPr>
        <w:tabs>
          <w:tab w:val="left" w:pos="0"/>
          <w:tab w:val="left" w:pos="840"/>
        </w:tabs>
        <w:rPr>
          <w:rFonts w:ascii="宋体" w:hAnsi="宋体" w:cs="宋体"/>
          <w:sz w:val="24"/>
          <w:szCs w:val="24"/>
          <w:highlight w:val="none"/>
        </w:rPr>
      </w:pPr>
    </w:p>
    <w:p w14:paraId="6FEDB9B2">
      <w:pPr>
        <w:tabs>
          <w:tab w:val="left" w:pos="0"/>
          <w:tab w:val="left" w:pos="840"/>
        </w:tabs>
        <w:rPr>
          <w:rFonts w:ascii="宋体" w:hAnsi="宋体" w:cs="宋体"/>
          <w:sz w:val="24"/>
          <w:szCs w:val="24"/>
          <w:highlight w:val="none"/>
        </w:rPr>
      </w:pPr>
    </w:p>
    <w:p w14:paraId="585B84DD">
      <w:pPr>
        <w:tabs>
          <w:tab w:val="left" w:pos="0"/>
          <w:tab w:val="left" w:pos="840"/>
        </w:tabs>
        <w:rPr>
          <w:rFonts w:ascii="宋体" w:hAnsi="宋体" w:cs="宋体"/>
          <w:sz w:val="24"/>
          <w:szCs w:val="24"/>
          <w:highlight w:val="none"/>
        </w:rPr>
      </w:pPr>
    </w:p>
    <w:p w14:paraId="4C1F2AC9">
      <w:pPr>
        <w:spacing w:line="360" w:lineRule="auto"/>
        <w:ind w:firstLine="4245" w:firstLineChars="1762"/>
        <w:rPr>
          <w:rFonts w:ascii="宋体" w:hAnsi="宋体" w:cs="宋体"/>
          <w:b/>
          <w:bCs/>
          <w:sz w:val="24"/>
          <w:szCs w:val="24"/>
          <w:highlight w:val="none"/>
          <w:u w:val="singl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436CC0BB">
      <w:pPr>
        <w:tabs>
          <w:tab w:val="left" w:pos="630"/>
        </w:tabs>
        <w:spacing w:line="360" w:lineRule="auto"/>
        <w:ind w:firstLine="4245" w:firstLineChars="1762"/>
        <w:rPr>
          <w:rFonts w:ascii="宋体" w:hAnsi="宋体" w:cs="宋体"/>
          <w:b/>
          <w:bCs/>
          <w:sz w:val="24"/>
          <w:szCs w:val="24"/>
          <w:highlight w:val="none"/>
        </w:rPr>
      </w:pPr>
      <w:r>
        <w:rPr>
          <w:rFonts w:hint="eastAsia" w:ascii="宋体" w:hAnsi="宋体" w:cs="宋体"/>
          <w:b/>
          <w:bCs/>
          <w:sz w:val="24"/>
          <w:szCs w:val="24"/>
          <w:highlight w:val="none"/>
        </w:rPr>
        <w:t>日期：</w:t>
      </w:r>
    </w:p>
    <w:p w14:paraId="41E0CE50">
      <w:pPr>
        <w:spacing w:before="0" w:after="0" w:line="560" w:lineRule="exact"/>
        <w:outlineLvl w:val="9"/>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38" w:name="_Toc16627"/>
      <w:bookmarkStart w:id="139" w:name="_Toc30354"/>
      <w:bookmarkStart w:id="140" w:name="_Toc21593"/>
      <w:r>
        <w:rPr>
          <w:rFonts w:hint="eastAsia" w:ascii="宋体" w:hAnsi="宋体" w:eastAsia="宋体" w:cs="宋体"/>
          <w:b/>
          <w:bCs/>
          <w:sz w:val="24"/>
          <w:szCs w:val="24"/>
          <w:highlight w:val="none"/>
        </w:rPr>
        <w:t>附件</w:t>
      </w:r>
      <w:bookmarkEnd w:id="137"/>
      <w:r>
        <w:rPr>
          <w:rFonts w:hint="eastAsia" w:ascii="宋体" w:hAnsi="宋体" w:eastAsia="宋体" w:cs="宋体"/>
          <w:b/>
          <w:bCs/>
          <w:sz w:val="24"/>
          <w:szCs w:val="24"/>
          <w:highlight w:val="none"/>
        </w:rPr>
        <w:t>五</w:t>
      </w:r>
      <w:bookmarkEnd w:id="138"/>
      <w:bookmarkEnd w:id="139"/>
      <w:bookmarkEnd w:id="140"/>
    </w:p>
    <w:p w14:paraId="38255504">
      <w:pPr>
        <w:pStyle w:val="33"/>
        <w:ind w:firstLine="281"/>
        <w:rPr>
          <w:b/>
          <w:sz w:val="28"/>
          <w:szCs w:val="28"/>
          <w:highlight w:val="none"/>
        </w:rPr>
      </w:pPr>
      <w:bookmarkStart w:id="141" w:name="_Toc26881"/>
      <w:bookmarkStart w:id="142" w:name="_Toc10256"/>
      <w:bookmarkStart w:id="143" w:name="_Toc26949"/>
    </w:p>
    <w:p w14:paraId="6A46F008">
      <w:pPr>
        <w:pStyle w:val="33"/>
        <w:ind w:firstLine="2891" w:firstLineChars="1200"/>
        <w:outlineLvl w:val="1"/>
        <w:rPr>
          <w:rFonts w:ascii="宋体" w:hAnsi="宋体" w:cs="宋体"/>
          <w:b/>
          <w:szCs w:val="24"/>
          <w:highlight w:val="none"/>
          <w:lang w:val="zh-CN"/>
        </w:rPr>
      </w:pPr>
      <w:bookmarkStart w:id="144" w:name="_Hlk77793942"/>
      <w:r>
        <w:rPr>
          <w:rFonts w:hint="eastAsia" w:ascii="宋体" w:hAnsi="宋体" w:cs="宋体"/>
          <w:b/>
          <w:szCs w:val="24"/>
          <w:highlight w:val="none"/>
          <w:lang w:val="zh-CN"/>
        </w:rPr>
        <w:t>无重大违法记录声明函</w:t>
      </w:r>
    </w:p>
    <w:p w14:paraId="7D63D753">
      <w:pPr>
        <w:pStyle w:val="33"/>
        <w:ind w:firstLine="480" w:firstLineChars="200"/>
        <w:rPr>
          <w:rFonts w:ascii="宋体" w:hAnsi="宋体"/>
          <w:szCs w:val="24"/>
          <w:highlight w:val="none"/>
        </w:rPr>
      </w:pPr>
      <w:bookmarkStart w:id="145" w:name="_Hlk77793969"/>
      <w:r>
        <w:rPr>
          <w:rFonts w:hint="eastAsia" w:ascii="宋体" w:hAnsi="宋体"/>
          <w:szCs w:val="24"/>
          <w:highlight w:val="none"/>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7999FC2C">
      <w:pPr>
        <w:spacing w:line="360" w:lineRule="auto"/>
        <w:ind w:firstLine="435"/>
        <w:rPr>
          <w:rFonts w:ascii="宋体" w:hAnsi="宋体"/>
          <w:sz w:val="24"/>
          <w:szCs w:val="24"/>
          <w:highlight w:val="none"/>
        </w:rPr>
      </w:pPr>
      <w:r>
        <w:rPr>
          <w:rFonts w:hint="eastAsia" w:ascii="宋体" w:hAnsi="宋体"/>
          <w:sz w:val="24"/>
          <w:szCs w:val="24"/>
          <w:highlight w:val="none"/>
        </w:rPr>
        <w:t>本公司对上述声明的真实性负责。如有虚假，将依法承担相应责任。</w:t>
      </w:r>
    </w:p>
    <w:p w14:paraId="4AD8DC36">
      <w:pPr>
        <w:spacing w:line="360" w:lineRule="auto"/>
        <w:ind w:firstLine="435"/>
        <w:rPr>
          <w:rFonts w:ascii="宋体" w:hAnsi="宋体"/>
          <w:sz w:val="24"/>
          <w:szCs w:val="24"/>
          <w:highlight w:val="none"/>
        </w:rPr>
      </w:pPr>
    </w:p>
    <w:p w14:paraId="4E9EBADF">
      <w:pPr>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供应商</w:t>
      </w:r>
      <w:r>
        <w:rPr>
          <w:rFonts w:hint="eastAsia" w:ascii="宋体" w:hAnsi="宋体"/>
          <w:bCs/>
          <w:sz w:val="24"/>
          <w:szCs w:val="24"/>
          <w:highlight w:val="none"/>
          <w:lang w:eastAsia="zh-CN"/>
        </w:rPr>
        <w:t>公章</w:t>
      </w:r>
      <w:r>
        <w:rPr>
          <w:rFonts w:hint="eastAsia" w:ascii="宋体" w:hAnsi="宋体"/>
          <w:bCs/>
          <w:sz w:val="24"/>
          <w:szCs w:val="24"/>
          <w:highlight w:val="none"/>
        </w:rPr>
        <w:t>：</w:t>
      </w:r>
    </w:p>
    <w:p w14:paraId="538ADD50">
      <w:pPr>
        <w:tabs>
          <w:tab w:val="left" w:pos="630"/>
        </w:tabs>
        <w:spacing w:line="360" w:lineRule="auto"/>
        <w:ind w:firstLine="5428" w:firstLineChars="2262"/>
        <w:rPr>
          <w:rFonts w:ascii="宋体" w:hAnsi="宋体"/>
          <w:bCs/>
          <w:sz w:val="24"/>
          <w:szCs w:val="24"/>
          <w:highlight w:val="none"/>
          <w:lang w:val="zh-CN"/>
        </w:rPr>
      </w:pPr>
      <w:r>
        <w:rPr>
          <w:rFonts w:hint="eastAsia" w:ascii="宋体" w:hAnsi="宋体"/>
          <w:bCs/>
          <w:sz w:val="24"/>
          <w:szCs w:val="24"/>
          <w:highlight w:val="none"/>
        </w:rPr>
        <w:t>日期：</w:t>
      </w:r>
    </w:p>
    <w:bookmarkEnd w:id="145"/>
    <w:p w14:paraId="352424BB">
      <w:pPr>
        <w:pStyle w:val="33"/>
        <w:ind w:firstLine="210"/>
        <w:rPr>
          <w:highlight w:val="none"/>
        </w:rPr>
      </w:pPr>
    </w:p>
    <w:p w14:paraId="760C0F6B">
      <w:pPr>
        <w:pStyle w:val="33"/>
        <w:ind w:firstLine="210"/>
        <w:rPr>
          <w:highlight w:val="none"/>
        </w:rPr>
      </w:pPr>
    </w:p>
    <w:p w14:paraId="7BA7DB68">
      <w:pPr>
        <w:tabs>
          <w:tab w:val="left" w:pos="630"/>
        </w:tabs>
        <w:spacing w:after="156" w:afterLines="50" w:line="360" w:lineRule="auto"/>
        <w:ind w:firstLine="3188" w:firstLineChars="1323"/>
        <w:outlineLvl w:val="1"/>
        <w:rPr>
          <w:rFonts w:ascii="宋体" w:hAnsi="宋体"/>
          <w:sz w:val="24"/>
          <w:szCs w:val="24"/>
          <w:highlight w:val="none"/>
        </w:rPr>
      </w:pPr>
      <w:r>
        <w:rPr>
          <w:rFonts w:hint="eastAsia" w:ascii="宋体" w:hAnsi="宋体"/>
          <w:b/>
          <w:sz w:val="24"/>
          <w:szCs w:val="24"/>
          <w:highlight w:val="none"/>
          <w:lang w:val="zh-CN"/>
        </w:rPr>
        <w:t>无不良信用记录承诺函</w:t>
      </w:r>
    </w:p>
    <w:p w14:paraId="6763E4B5">
      <w:pPr>
        <w:spacing w:line="360" w:lineRule="auto"/>
        <w:ind w:firstLine="435"/>
        <w:rPr>
          <w:rFonts w:ascii="宋体" w:hAnsi="宋体"/>
          <w:sz w:val="24"/>
          <w:szCs w:val="24"/>
          <w:highlight w:val="none"/>
        </w:rPr>
      </w:pPr>
      <w:bookmarkStart w:id="146" w:name="_Hlk77794010"/>
      <w:r>
        <w:rPr>
          <w:rFonts w:hint="eastAsia" w:ascii="宋体" w:hAnsi="宋体"/>
          <w:sz w:val="24"/>
          <w:szCs w:val="24"/>
          <w:highlight w:val="none"/>
        </w:rPr>
        <w:t>本公司郑重承诺，我公司无以下不良信用记录情形：</w:t>
      </w:r>
    </w:p>
    <w:p w14:paraId="4778C857">
      <w:pPr>
        <w:spacing w:line="360" w:lineRule="auto"/>
        <w:ind w:firstLine="435"/>
        <w:rPr>
          <w:rFonts w:ascii="宋体" w:hAnsi="宋体"/>
          <w:sz w:val="24"/>
          <w:szCs w:val="24"/>
          <w:highlight w:val="none"/>
        </w:rPr>
      </w:pPr>
      <w:r>
        <w:rPr>
          <w:rFonts w:hint="eastAsia" w:ascii="宋体" w:hAnsi="宋体"/>
          <w:sz w:val="24"/>
          <w:szCs w:val="24"/>
          <w:highlight w:val="none"/>
        </w:rPr>
        <w:t>1、公司被人民法院列入失信被执行人；</w:t>
      </w:r>
    </w:p>
    <w:p w14:paraId="35D10F98">
      <w:pPr>
        <w:spacing w:line="360" w:lineRule="auto"/>
        <w:ind w:firstLine="435"/>
        <w:rPr>
          <w:rFonts w:ascii="宋体" w:hAnsi="宋体"/>
          <w:sz w:val="24"/>
          <w:szCs w:val="24"/>
          <w:highlight w:val="none"/>
        </w:rPr>
      </w:pPr>
      <w:r>
        <w:rPr>
          <w:rFonts w:hint="eastAsia" w:ascii="宋体" w:hAnsi="宋体"/>
          <w:color w:val="000000" w:themeColor="text1"/>
          <w:sz w:val="24"/>
          <w:szCs w:val="24"/>
          <w:highlight w:val="none"/>
          <w14:textFill>
            <w14:solidFill>
              <w14:schemeClr w14:val="tx1"/>
            </w14:solidFill>
          </w14:textFill>
        </w:rPr>
        <w:t>2、</w:t>
      </w:r>
      <w:r>
        <w:rPr>
          <w:rFonts w:hint="eastAsia" w:ascii="宋体" w:hAnsi="宋体"/>
          <w:sz w:val="24"/>
          <w:szCs w:val="24"/>
          <w:highlight w:val="none"/>
        </w:rPr>
        <w:t>公司被市场监督管理部门列入</w:t>
      </w:r>
      <w:r>
        <w:rPr>
          <w:rFonts w:hint="eastAsia" w:ascii="宋体" w:hAnsi="宋体"/>
          <w:sz w:val="24"/>
          <w:szCs w:val="24"/>
          <w:highlight w:val="none"/>
          <w:lang w:eastAsia="zh-CN"/>
        </w:rPr>
        <w:t>严重违法失信企业</w:t>
      </w:r>
      <w:r>
        <w:rPr>
          <w:rFonts w:hint="eastAsia" w:ascii="宋体" w:hAnsi="宋体"/>
          <w:sz w:val="24"/>
          <w:szCs w:val="24"/>
          <w:highlight w:val="none"/>
        </w:rPr>
        <w:t>名录；</w:t>
      </w:r>
    </w:p>
    <w:p w14:paraId="5F367F38">
      <w:pPr>
        <w:spacing w:line="360" w:lineRule="auto"/>
        <w:ind w:firstLine="435"/>
        <w:rPr>
          <w:rFonts w:ascii="宋体" w:hAnsi="宋体"/>
          <w:sz w:val="24"/>
          <w:szCs w:val="24"/>
          <w:highlight w:val="none"/>
        </w:rPr>
      </w:pPr>
      <w:r>
        <w:rPr>
          <w:rFonts w:hint="eastAsia" w:ascii="宋体" w:hAnsi="宋体"/>
          <w:sz w:val="24"/>
          <w:szCs w:val="24"/>
          <w:highlight w:val="none"/>
        </w:rPr>
        <w:t>3、公司被税务部门列入重大税收违法案件当事人名单的；</w:t>
      </w:r>
    </w:p>
    <w:p w14:paraId="49EFDA63">
      <w:pPr>
        <w:spacing w:line="360" w:lineRule="auto"/>
        <w:ind w:firstLine="435"/>
        <w:rPr>
          <w:rFonts w:ascii="宋体" w:hAnsi="宋体"/>
          <w:sz w:val="24"/>
          <w:szCs w:val="24"/>
          <w:highlight w:val="none"/>
        </w:rPr>
      </w:pPr>
      <w:r>
        <w:rPr>
          <w:rFonts w:hint="eastAsia" w:ascii="宋体" w:hAnsi="宋体"/>
          <w:sz w:val="24"/>
          <w:szCs w:val="24"/>
          <w:highlight w:val="none"/>
        </w:rPr>
        <w:t>4、公司被政府采购监管部门列入政府采购严重违法失信行为记录名单。</w:t>
      </w:r>
    </w:p>
    <w:p w14:paraId="4F5545A3">
      <w:pPr>
        <w:spacing w:line="360" w:lineRule="auto"/>
        <w:ind w:firstLine="435"/>
        <w:rPr>
          <w:rFonts w:ascii="宋体" w:hAnsi="宋体" w:cs="宋体"/>
          <w:kern w:val="0"/>
          <w:sz w:val="32"/>
          <w:szCs w:val="32"/>
          <w:highlight w:val="none"/>
        </w:rPr>
      </w:pPr>
      <w:r>
        <w:rPr>
          <w:rFonts w:ascii="宋体" w:hAnsi="宋体"/>
          <w:sz w:val="24"/>
          <w:szCs w:val="24"/>
          <w:highlight w:val="none"/>
        </w:rPr>
        <w:t>我公司承诺</w:t>
      </w:r>
      <w:r>
        <w:rPr>
          <w:rFonts w:hint="eastAsia" w:ascii="宋体" w:hAnsi="宋体"/>
          <w:sz w:val="24"/>
          <w:szCs w:val="24"/>
          <w:highlight w:val="none"/>
        </w:rPr>
        <w:t>：</w:t>
      </w:r>
      <w:r>
        <w:rPr>
          <w:rFonts w:ascii="宋体" w:hAnsi="宋体"/>
          <w:sz w:val="24"/>
          <w:szCs w:val="24"/>
          <w:highlight w:val="none"/>
        </w:rPr>
        <w:t>合同签订前，若我公司具有不良信用记录情形，贵方可取消我公司</w:t>
      </w:r>
      <w:r>
        <w:rPr>
          <w:rFonts w:hint="eastAsia" w:ascii="宋体" w:hAnsi="宋体"/>
          <w:sz w:val="24"/>
          <w:szCs w:val="24"/>
          <w:highlight w:val="none"/>
        </w:rPr>
        <w:t>成交</w:t>
      </w:r>
      <w:r>
        <w:rPr>
          <w:rFonts w:ascii="宋体" w:hAnsi="宋体"/>
          <w:sz w:val="24"/>
          <w:szCs w:val="24"/>
          <w:highlight w:val="none"/>
        </w:rPr>
        <w:t>资格或者不授予合同，所有责任由我公司自行承担。同时，我公司愿意无条件接受监管部门的调查处理。</w:t>
      </w:r>
    </w:p>
    <w:p w14:paraId="0222D4D3">
      <w:pPr>
        <w:tabs>
          <w:tab w:val="left" w:pos="630"/>
        </w:tabs>
        <w:spacing w:line="360" w:lineRule="auto"/>
        <w:ind w:firstLine="630"/>
        <w:rPr>
          <w:rFonts w:ascii="宋体" w:hAnsi="宋体"/>
          <w:sz w:val="24"/>
          <w:szCs w:val="24"/>
          <w:highlight w:val="none"/>
        </w:rPr>
      </w:pPr>
    </w:p>
    <w:p w14:paraId="6A431B9D">
      <w:pPr>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供应商</w:t>
      </w:r>
      <w:r>
        <w:rPr>
          <w:rFonts w:hint="eastAsia" w:ascii="宋体" w:hAnsi="宋体"/>
          <w:bCs/>
          <w:sz w:val="24"/>
          <w:szCs w:val="24"/>
          <w:highlight w:val="none"/>
          <w:lang w:eastAsia="zh-CN"/>
        </w:rPr>
        <w:t>公章</w:t>
      </w:r>
      <w:r>
        <w:rPr>
          <w:rFonts w:hint="eastAsia" w:ascii="宋体" w:hAnsi="宋体"/>
          <w:bCs/>
          <w:sz w:val="24"/>
          <w:szCs w:val="24"/>
          <w:highlight w:val="none"/>
        </w:rPr>
        <w:t>：</w:t>
      </w:r>
    </w:p>
    <w:p w14:paraId="0FA6A895">
      <w:pPr>
        <w:tabs>
          <w:tab w:val="left" w:pos="630"/>
        </w:tabs>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日期：</w:t>
      </w:r>
      <w:bookmarkEnd w:id="141"/>
      <w:bookmarkEnd w:id="142"/>
      <w:bookmarkEnd w:id="143"/>
      <w:bookmarkEnd w:id="144"/>
      <w:bookmarkEnd w:id="146"/>
      <w:bookmarkStart w:id="147" w:name="_Toc363199274"/>
      <w:r>
        <w:rPr>
          <w:rFonts w:hint="eastAsia" w:ascii="宋体" w:hAnsi="宋体" w:cs="宋体"/>
          <w:sz w:val="24"/>
          <w:szCs w:val="24"/>
          <w:highlight w:val="none"/>
        </w:rPr>
        <w:br w:type="page"/>
      </w:r>
      <w:bookmarkStart w:id="148" w:name="_Toc17797"/>
      <w:bookmarkStart w:id="149" w:name="_Toc20743"/>
      <w:bookmarkStart w:id="150" w:name="_Toc18709"/>
      <w:r>
        <w:rPr>
          <w:rFonts w:hint="eastAsia" w:ascii="宋体" w:hAnsi="宋体" w:cs="宋体"/>
          <w:b/>
          <w:bCs/>
          <w:sz w:val="24"/>
          <w:szCs w:val="24"/>
          <w:highlight w:val="none"/>
        </w:rPr>
        <w:t>附件</w:t>
      </w:r>
      <w:bookmarkEnd w:id="147"/>
      <w:r>
        <w:rPr>
          <w:rFonts w:hint="eastAsia" w:ascii="宋体" w:hAnsi="宋体" w:cs="宋体"/>
          <w:b/>
          <w:bCs/>
          <w:sz w:val="24"/>
          <w:szCs w:val="24"/>
          <w:highlight w:val="none"/>
        </w:rPr>
        <w:t>六</w:t>
      </w:r>
      <w:bookmarkEnd w:id="148"/>
      <w:bookmarkEnd w:id="149"/>
      <w:bookmarkEnd w:id="150"/>
    </w:p>
    <w:p w14:paraId="7D8E33E4">
      <w:pPr>
        <w:pStyle w:val="3"/>
        <w:spacing w:before="0" w:after="0" w:line="560" w:lineRule="exact"/>
        <w:jc w:val="center"/>
        <w:rPr>
          <w:rFonts w:ascii="宋体" w:hAnsi="宋体" w:eastAsia="宋体" w:cs="宋体"/>
          <w:sz w:val="24"/>
          <w:szCs w:val="24"/>
          <w:highlight w:val="none"/>
          <w:lang w:val="zh-CN"/>
        </w:rPr>
      </w:pPr>
      <w:bookmarkStart w:id="151" w:name="_Toc30075"/>
      <w:bookmarkStart w:id="152" w:name="_Toc18402"/>
      <w:bookmarkStart w:id="153" w:name="_Toc25238"/>
      <w:r>
        <w:rPr>
          <w:rFonts w:hint="eastAsia" w:ascii="宋体" w:hAnsi="宋体" w:eastAsia="宋体" w:cs="宋体"/>
          <w:sz w:val="24"/>
          <w:szCs w:val="24"/>
          <w:highlight w:val="none"/>
          <w:lang w:val="zh-CN"/>
        </w:rPr>
        <w:t>响应情况表</w:t>
      </w:r>
      <w:bookmarkEnd w:id="151"/>
      <w:bookmarkEnd w:id="152"/>
      <w:bookmarkEnd w:id="153"/>
    </w:p>
    <w:p w14:paraId="61786D60">
      <w:pPr>
        <w:jc w:val="center"/>
        <w:rPr>
          <w:rFonts w:ascii="宋体" w:hAnsi="宋体" w:cs="宋体"/>
          <w:bCs/>
          <w:sz w:val="24"/>
          <w:szCs w:val="24"/>
          <w:highlight w:val="none"/>
          <w:lang w:val="zh-CN"/>
        </w:rPr>
      </w:pP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0C4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vAlign w:val="center"/>
          </w:tcPr>
          <w:p w14:paraId="7FA4297A">
            <w:pPr>
              <w:jc w:val="center"/>
              <w:rPr>
                <w:rFonts w:ascii="宋体" w:hAnsi="宋体" w:cs="宋体"/>
                <w:b/>
                <w:sz w:val="24"/>
                <w:szCs w:val="21"/>
                <w:highlight w:val="none"/>
              </w:rPr>
            </w:pPr>
            <w:bookmarkStart w:id="154" w:name="_Toc471299110"/>
            <w:r>
              <w:rPr>
                <w:rFonts w:hint="eastAsia" w:ascii="宋体" w:hAnsi="宋体" w:cs="宋体"/>
                <w:b/>
                <w:sz w:val="24"/>
                <w:szCs w:val="21"/>
                <w:highlight w:val="none"/>
              </w:rPr>
              <w:t>按磋商文件规定填写</w:t>
            </w:r>
          </w:p>
        </w:tc>
        <w:tc>
          <w:tcPr>
            <w:tcW w:w="4200" w:type="dxa"/>
            <w:gridSpan w:val="2"/>
            <w:vAlign w:val="center"/>
          </w:tcPr>
          <w:p w14:paraId="194119E9">
            <w:pPr>
              <w:jc w:val="center"/>
              <w:rPr>
                <w:rFonts w:ascii="宋体" w:hAnsi="宋体" w:cs="宋体"/>
                <w:b/>
                <w:sz w:val="24"/>
                <w:szCs w:val="21"/>
                <w:highlight w:val="none"/>
              </w:rPr>
            </w:pPr>
            <w:r>
              <w:rPr>
                <w:rFonts w:hint="eastAsia" w:ascii="宋体" w:hAnsi="宋体" w:cs="宋体"/>
                <w:b/>
                <w:sz w:val="24"/>
                <w:szCs w:val="21"/>
                <w:highlight w:val="none"/>
              </w:rPr>
              <w:t>按供应商所投内容填写</w:t>
            </w:r>
          </w:p>
        </w:tc>
      </w:tr>
      <w:tr w14:paraId="031E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vAlign w:val="center"/>
          </w:tcPr>
          <w:p w14:paraId="691E11D2">
            <w:pPr>
              <w:jc w:val="center"/>
              <w:rPr>
                <w:rFonts w:ascii="宋体" w:hAnsi="宋体" w:cs="宋体"/>
                <w:b/>
                <w:sz w:val="24"/>
                <w:szCs w:val="21"/>
                <w:highlight w:val="none"/>
              </w:rPr>
            </w:pPr>
            <w:r>
              <w:rPr>
                <w:rFonts w:hint="eastAsia" w:ascii="宋体" w:hAnsi="宋体" w:cs="宋体"/>
                <w:b/>
                <w:sz w:val="24"/>
                <w:szCs w:val="21"/>
                <w:highlight w:val="none"/>
              </w:rPr>
              <w:t>序号</w:t>
            </w:r>
          </w:p>
        </w:tc>
        <w:tc>
          <w:tcPr>
            <w:tcW w:w="1794" w:type="dxa"/>
            <w:vAlign w:val="center"/>
          </w:tcPr>
          <w:p w14:paraId="3D094152">
            <w:pPr>
              <w:jc w:val="center"/>
              <w:rPr>
                <w:rFonts w:ascii="宋体" w:hAnsi="宋体" w:cs="宋体"/>
                <w:b/>
                <w:sz w:val="24"/>
                <w:szCs w:val="21"/>
                <w:highlight w:val="none"/>
              </w:rPr>
            </w:pPr>
            <w:r>
              <w:rPr>
                <w:rFonts w:hint="eastAsia" w:ascii="宋体" w:hAnsi="宋体" w:cs="宋体"/>
                <w:b/>
                <w:sz w:val="24"/>
                <w:szCs w:val="21"/>
                <w:highlight w:val="none"/>
              </w:rPr>
              <w:t>内容</w:t>
            </w:r>
          </w:p>
        </w:tc>
        <w:tc>
          <w:tcPr>
            <w:tcW w:w="2196" w:type="dxa"/>
            <w:vAlign w:val="center"/>
          </w:tcPr>
          <w:p w14:paraId="30CAEE0D">
            <w:pPr>
              <w:jc w:val="center"/>
              <w:rPr>
                <w:rFonts w:ascii="宋体" w:hAnsi="宋体" w:cs="宋体"/>
                <w:b/>
                <w:sz w:val="24"/>
                <w:szCs w:val="21"/>
                <w:highlight w:val="none"/>
              </w:rPr>
            </w:pPr>
            <w:r>
              <w:rPr>
                <w:rFonts w:hint="eastAsia" w:ascii="宋体" w:hAnsi="宋体" w:cs="宋体"/>
                <w:b/>
                <w:sz w:val="24"/>
                <w:szCs w:val="21"/>
                <w:highlight w:val="none"/>
              </w:rPr>
              <w:t>磋商文件要求</w:t>
            </w:r>
          </w:p>
        </w:tc>
        <w:tc>
          <w:tcPr>
            <w:tcW w:w="2222" w:type="dxa"/>
            <w:vAlign w:val="center"/>
          </w:tcPr>
          <w:p w14:paraId="2EB3A3E5">
            <w:pPr>
              <w:jc w:val="center"/>
              <w:rPr>
                <w:rFonts w:ascii="宋体" w:hAnsi="宋体" w:cs="宋体"/>
                <w:b/>
                <w:sz w:val="24"/>
                <w:szCs w:val="21"/>
                <w:highlight w:val="none"/>
              </w:rPr>
            </w:pPr>
            <w:r>
              <w:rPr>
                <w:rFonts w:hint="eastAsia" w:ascii="宋体" w:hAnsi="宋体" w:cs="宋体"/>
                <w:b/>
                <w:sz w:val="24"/>
                <w:szCs w:val="21"/>
                <w:highlight w:val="none"/>
              </w:rPr>
              <w:t>响应承诺</w:t>
            </w:r>
          </w:p>
        </w:tc>
        <w:tc>
          <w:tcPr>
            <w:tcW w:w="1978" w:type="dxa"/>
            <w:vAlign w:val="center"/>
          </w:tcPr>
          <w:p w14:paraId="77229595">
            <w:pPr>
              <w:jc w:val="center"/>
              <w:rPr>
                <w:rFonts w:ascii="宋体" w:hAnsi="宋体" w:cs="宋体"/>
                <w:b/>
                <w:sz w:val="24"/>
                <w:szCs w:val="21"/>
                <w:highlight w:val="none"/>
              </w:rPr>
            </w:pPr>
            <w:r>
              <w:rPr>
                <w:rFonts w:hint="eastAsia" w:ascii="宋体" w:hAnsi="宋体" w:cs="宋体"/>
                <w:b/>
                <w:sz w:val="24"/>
                <w:szCs w:val="21"/>
                <w:highlight w:val="none"/>
              </w:rPr>
              <w:t>偏离说明</w:t>
            </w:r>
          </w:p>
        </w:tc>
      </w:tr>
      <w:tr w14:paraId="418B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5903C82D">
            <w:pPr>
              <w:jc w:val="center"/>
              <w:rPr>
                <w:rFonts w:ascii="宋体" w:hAnsi="宋体" w:cs="宋体"/>
                <w:sz w:val="24"/>
                <w:szCs w:val="24"/>
                <w:highlight w:val="none"/>
              </w:rPr>
            </w:pPr>
            <w:r>
              <w:rPr>
                <w:rFonts w:hint="eastAsia" w:ascii="宋体" w:hAnsi="宋体" w:cs="宋体"/>
                <w:sz w:val="24"/>
                <w:szCs w:val="24"/>
                <w:highlight w:val="none"/>
              </w:rPr>
              <w:t>1</w:t>
            </w:r>
          </w:p>
        </w:tc>
        <w:tc>
          <w:tcPr>
            <w:tcW w:w="1794" w:type="dxa"/>
            <w:vAlign w:val="center"/>
          </w:tcPr>
          <w:p w14:paraId="393F0BC7">
            <w:pPr>
              <w:jc w:val="center"/>
              <w:rPr>
                <w:rFonts w:ascii="宋体" w:hAnsi="宋体" w:cs="宋体"/>
                <w:sz w:val="24"/>
                <w:szCs w:val="24"/>
                <w:highlight w:val="none"/>
              </w:rPr>
            </w:pPr>
            <w:r>
              <w:rPr>
                <w:rFonts w:hint="eastAsia" w:ascii="宋体" w:hAnsi="宋体" w:cs="宋体"/>
                <w:sz w:val="24"/>
                <w:szCs w:val="28"/>
                <w:highlight w:val="none"/>
              </w:rPr>
              <w:t>技术响应</w:t>
            </w:r>
          </w:p>
        </w:tc>
        <w:tc>
          <w:tcPr>
            <w:tcW w:w="2196" w:type="dxa"/>
            <w:vAlign w:val="center"/>
          </w:tcPr>
          <w:p w14:paraId="16C9377C">
            <w:pPr>
              <w:rPr>
                <w:rFonts w:ascii="宋体" w:hAnsi="宋体" w:cs="宋体"/>
                <w:sz w:val="24"/>
                <w:szCs w:val="24"/>
                <w:highlight w:val="none"/>
              </w:rPr>
            </w:pPr>
          </w:p>
        </w:tc>
        <w:tc>
          <w:tcPr>
            <w:tcW w:w="2222" w:type="dxa"/>
            <w:vAlign w:val="center"/>
          </w:tcPr>
          <w:p w14:paraId="3FC5D136">
            <w:pPr>
              <w:rPr>
                <w:rFonts w:ascii="宋体" w:hAnsi="宋体" w:cs="宋体"/>
                <w:sz w:val="24"/>
                <w:szCs w:val="24"/>
                <w:highlight w:val="none"/>
              </w:rPr>
            </w:pPr>
          </w:p>
        </w:tc>
        <w:tc>
          <w:tcPr>
            <w:tcW w:w="1978" w:type="dxa"/>
            <w:vAlign w:val="center"/>
          </w:tcPr>
          <w:p w14:paraId="79202BB3">
            <w:pPr>
              <w:rPr>
                <w:rFonts w:ascii="宋体" w:hAnsi="宋体" w:cs="宋体"/>
                <w:sz w:val="24"/>
                <w:szCs w:val="24"/>
                <w:highlight w:val="none"/>
              </w:rPr>
            </w:pPr>
          </w:p>
        </w:tc>
      </w:tr>
      <w:tr w14:paraId="2280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31FDC6C7">
            <w:pPr>
              <w:jc w:val="center"/>
              <w:rPr>
                <w:rFonts w:ascii="宋体" w:hAnsi="宋体" w:cs="宋体"/>
                <w:sz w:val="24"/>
                <w:szCs w:val="24"/>
                <w:highlight w:val="none"/>
              </w:rPr>
            </w:pPr>
            <w:r>
              <w:rPr>
                <w:rFonts w:hint="eastAsia" w:ascii="宋体" w:hAnsi="宋体" w:cs="宋体"/>
                <w:sz w:val="24"/>
                <w:szCs w:val="24"/>
                <w:highlight w:val="none"/>
              </w:rPr>
              <w:t>2</w:t>
            </w:r>
          </w:p>
        </w:tc>
        <w:tc>
          <w:tcPr>
            <w:tcW w:w="1794" w:type="dxa"/>
            <w:vAlign w:val="center"/>
          </w:tcPr>
          <w:p w14:paraId="6BDF5A2B">
            <w:pPr>
              <w:jc w:val="center"/>
              <w:rPr>
                <w:rFonts w:ascii="宋体" w:hAnsi="宋体" w:cs="宋体"/>
                <w:sz w:val="24"/>
                <w:szCs w:val="24"/>
                <w:highlight w:val="none"/>
              </w:rPr>
            </w:pPr>
            <w:r>
              <w:rPr>
                <w:rFonts w:hint="eastAsia" w:ascii="宋体" w:hAnsi="宋体" w:cs="宋体"/>
                <w:sz w:val="24"/>
                <w:szCs w:val="28"/>
                <w:highlight w:val="none"/>
              </w:rPr>
              <w:t>付款响应</w:t>
            </w:r>
          </w:p>
        </w:tc>
        <w:tc>
          <w:tcPr>
            <w:tcW w:w="2196" w:type="dxa"/>
            <w:vAlign w:val="center"/>
          </w:tcPr>
          <w:p w14:paraId="1ACFC54A">
            <w:pPr>
              <w:rPr>
                <w:rFonts w:ascii="宋体" w:hAnsi="宋体" w:cs="宋体"/>
                <w:sz w:val="24"/>
                <w:szCs w:val="24"/>
                <w:highlight w:val="none"/>
              </w:rPr>
            </w:pPr>
          </w:p>
        </w:tc>
        <w:tc>
          <w:tcPr>
            <w:tcW w:w="2222" w:type="dxa"/>
            <w:vAlign w:val="center"/>
          </w:tcPr>
          <w:p w14:paraId="1E87DD76">
            <w:pPr>
              <w:rPr>
                <w:rFonts w:ascii="宋体" w:hAnsi="宋体" w:cs="宋体"/>
                <w:sz w:val="24"/>
                <w:szCs w:val="24"/>
                <w:highlight w:val="none"/>
              </w:rPr>
            </w:pPr>
          </w:p>
        </w:tc>
        <w:tc>
          <w:tcPr>
            <w:tcW w:w="1978" w:type="dxa"/>
            <w:vAlign w:val="center"/>
          </w:tcPr>
          <w:p w14:paraId="118F0F4D">
            <w:pPr>
              <w:rPr>
                <w:rFonts w:ascii="宋体" w:hAnsi="宋体" w:cs="宋体"/>
                <w:sz w:val="24"/>
                <w:szCs w:val="24"/>
                <w:highlight w:val="none"/>
              </w:rPr>
            </w:pPr>
          </w:p>
        </w:tc>
      </w:tr>
      <w:tr w14:paraId="12CB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689D1C44">
            <w:pPr>
              <w:jc w:val="center"/>
              <w:rPr>
                <w:rFonts w:ascii="宋体" w:hAnsi="宋体" w:cs="宋体"/>
                <w:sz w:val="24"/>
                <w:szCs w:val="24"/>
                <w:highlight w:val="none"/>
              </w:rPr>
            </w:pPr>
            <w:r>
              <w:rPr>
                <w:rFonts w:hint="eastAsia" w:ascii="宋体" w:hAnsi="宋体" w:cs="宋体"/>
                <w:sz w:val="24"/>
                <w:szCs w:val="24"/>
                <w:highlight w:val="none"/>
              </w:rPr>
              <w:t>3</w:t>
            </w:r>
          </w:p>
        </w:tc>
        <w:tc>
          <w:tcPr>
            <w:tcW w:w="1794" w:type="dxa"/>
            <w:vAlign w:val="center"/>
          </w:tcPr>
          <w:p w14:paraId="6F519C34">
            <w:pPr>
              <w:jc w:val="center"/>
              <w:rPr>
                <w:rFonts w:ascii="宋体" w:hAnsi="宋体" w:cs="宋体"/>
                <w:sz w:val="24"/>
                <w:szCs w:val="24"/>
                <w:highlight w:val="none"/>
              </w:rPr>
            </w:pPr>
            <w:r>
              <w:rPr>
                <w:rFonts w:hint="eastAsia" w:ascii="宋体" w:hAnsi="宋体" w:cs="宋体"/>
                <w:sz w:val="24"/>
                <w:szCs w:val="28"/>
                <w:highlight w:val="none"/>
              </w:rPr>
              <w:t>服务期响应</w:t>
            </w:r>
          </w:p>
        </w:tc>
        <w:tc>
          <w:tcPr>
            <w:tcW w:w="2196" w:type="dxa"/>
            <w:vAlign w:val="center"/>
          </w:tcPr>
          <w:p w14:paraId="4C707601">
            <w:pPr>
              <w:rPr>
                <w:rFonts w:ascii="宋体" w:hAnsi="宋体" w:cs="宋体"/>
                <w:sz w:val="24"/>
                <w:szCs w:val="24"/>
                <w:highlight w:val="none"/>
              </w:rPr>
            </w:pPr>
          </w:p>
        </w:tc>
        <w:tc>
          <w:tcPr>
            <w:tcW w:w="2222" w:type="dxa"/>
            <w:vAlign w:val="center"/>
          </w:tcPr>
          <w:p w14:paraId="17E639B6">
            <w:pPr>
              <w:rPr>
                <w:rFonts w:ascii="宋体" w:hAnsi="宋体" w:cs="宋体"/>
                <w:sz w:val="24"/>
                <w:szCs w:val="24"/>
                <w:highlight w:val="none"/>
              </w:rPr>
            </w:pPr>
          </w:p>
        </w:tc>
        <w:tc>
          <w:tcPr>
            <w:tcW w:w="1978" w:type="dxa"/>
            <w:vAlign w:val="center"/>
          </w:tcPr>
          <w:p w14:paraId="5D478CDA">
            <w:pPr>
              <w:rPr>
                <w:rFonts w:ascii="宋体" w:hAnsi="宋体" w:cs="宋体"/>
                <w:sz w:val="24"/>
                <w:szCs w:val="24"/>
                <w:highlight w:val="none"/>
              </w:rPr>
            </w:pPr>
          </w:p>
        </w:tc>
      </w:tr>
      <w:tr w14:paraId="29AD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43445F2A">
            <w:pPr>
              <w:jc w:val="center"/>
              <w:rPr>
                <w:rFonts w:ascii="宋体" w:hAnsi="宋体" w:cs="宋体"/>
                <w:sz w:val="24"/>
                <w:szCs w:val="24"/>
                <w:highlight w:val="none"/>
              </w:rPr>
            </w:pPr>
            <w:r>
              <w:rPr>
                <w:rFonts w:hint="eastAsia" w:ascii="宋体" w:hAnsi="宋体" w:cs="宋体"/>
                <w:sz w:val="24"/>
                <w:szCs w:val="24"/>
                <w:highlight w:val="none"/>
              </w:rPr>
              <w:t>4</w:t>
            </w:r>
          </w:p>
        </w:tc>
        <w:tc>
          <w:tcPr>
            <w:tcW w:w="1794" w:type="dxa"/>
            <w:vAlign w:val="center"/>
          </w:tcPr>
          <w:p w14:paraId="07D357A4">
            <w:pPr>
              <w:jc w:val="center"/>
              <w:rPr>
                <w:rFonts w:ascii="宋体" w:hAnsi="宋体" w:cs="宋体"/>
                <w:sz w:val="24"/>
                <w:szCs w:val="24"/>
                <w:highlight w:val="none"/>
              </w:rPr>
            </w:pPr>
            <w:r>
              <w:rPr>
                <w:rFonts w:hint="eastAsia" w:ascii="宋体" w:hAnsi="宋体" w:cs="宋体"/>
                <w:sz w:val="24"/>
                <w:szCs w:val="24"/>
                <w:highlight w:val="none"/>
              </w:rPr>
              <w:t>其他</w:t>
            </w:r>
          </w:p>
        </w:tc>
        <w:tc>
          <w:tcPr>
            <w:tcW w:w="2196" w:type="dxa"/>
            <w:vAlign w:val="center"/>
          </w:tcPr>
          <w:p w14:paraId="3466E2F4">
            <w:pPr>
              <w:rPr>
                <w:rFonts w:ascii="宋体" w:hAnsi="宋体" w:cs="宋体"/>
                <w:sz w:val="24"/>
                <w:szCs w:val="24"/>
                <w:highlight w:val="none"/>
              </w:rPr>
            </w:pPr>
          </w:p>
        </w:tc>
        <w:tc>
          <w:tcPr>
            <w:tcW w:w="2222" w:type="dxa"/>
            <w:vAlign w:val="center"/>
          </w:tcPr>
          <w:p w14:paraId="4BCA5728">
            <w:pPr>
              <w:rPr>
                <w:rFonts w:ascii="宋体" w:hAnsi="宋体" w:cs="宋体"/>
                <w:sz w:val="24"/>
                <w:szCs w:val="24"/>
                <w:highlight w:val="none"/>
              </w:rPr>
            </w:pPr>
          </w:p>
        </w:tc>
        <w:tc>
          <w:tcPr>
            <w:tcW w:w="1978" w:type="dxa"/>
            <w:vAlign w:val="center"/>
          </w:tcPr>
          <w:p w14:paraId="54C314C2">
            <w:pPr>
              <w:rPr>
                <w:rFonts w:ascii="宋体" w:hAnsi="宋体" w:cs="宋体"/>
                <w:sz w:val="24"/>
                <w:szCs w:val="24"/>
                <w:highlight w:val="none"/>
              </w:rPr>
            </w:pPr>
          </w:p>
        </w:tc>
      </w:tr>
    </w:tbl>
    <w:p w14:paraId="5A6E8D5C">
      <w:pPr>
        <w:snapToGrid w:val="0"/>
        <w:spacing w:line="360" w:lineRule="auto"/>
        <w:rPr>
          <w:rFonts w:ascii="宋体" w:hAnsi="宋体" w:cs="宋体"/>
          <w:sz w:val="24"/>
          <w:szCs w:val="24"/>
          <w:highlight w:val="none"/>
        </w:rPr>
      </w:pPr>
    </w:p>
    <w:p w14:paraId="36EF7A26">
      <w:pPr>
        <w:snapToGrid w:val="0"/>
        <w:spacing w:line="460" w:lineRule="exact"/>
        <w:rPr>
          <w:rFonts w:ascii="宋体" w:hAnsi="宋体" w:cs="宋体"/>
          <w:b/>
          <w:bCs/>
          <w:sz w:val="24"/>
          <w:szCs w:val="24"/>
          <w:highlight w:val="none"/>
        </w:rPr>
      </w:pPr>
    </w:p>
    <w:p w14:paraId="48CA0BD3">
      <w:pPr>
        <w:snapToGrid w:val="0"/>
        <w:spacing w:line="460" w:lineRule="exact"/>
        <w:rPr>
          <w:rFonts w:ascii="宋体" w:hAnsi="宋体" w:cs="宋体"/>
          <w:b/>
          <w:bCs/>
          <w:sz w:val="24"/>
          <w:szCs w:val="24"/>
          <w:highlight w:val="non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57B98066">
      <w:pPr>
        <w:spacing w:line="460" w:lineRule="exact"/>
        <w:jc w:val="left"/>
        <w:rPr>
          <w:rFonts w:ascii="宋体" w:hAnsi="宋体" w:cs="宋体"/>
          <w:sz w:val="24"/>
          <w:szCs w:val="24"/>
          <w:highlight w:val="none"/>
        </w:rPr>
      </w:pPr>
      <w:r>
        <w:rPr>
          <w:rFonts w:hint="eastAsia" w:ascii="宋体" w:hAnsi="宋体" w:cs="宋体"/>
          <w:b/>
          <w:bCs/>
          <w:sz w:val="24"/>
          <w:szCs w:val="24"/>
          <w:highlight w:val="none"/>
        </w:rPr>
        <w:t>日期：   年   月   日</w:t>
      </w:r>
    </w:p>
    <w:p w14:paraId="10F6A7F5">
      <w:pPr>
        <w:spacing w:line="460" w:lineRule="exact"/>
        <w:rPr>
          <w:rFonts w:ascii="宋体" w:hAnsi="宋体" w:cs="宋体"/>
          <w:sz w:val="24"/>
          <w:szCs w:val="24"/>
          <w:highlight w:val="none"/>
        </w:rPr>
      </w:pPr>
    </w:p>
    <w:p w14:paraId="7E3BAC44">
      <w:pPr>
        <w:spacing w:line="500" w:lineRule="exact"/>
        <w:rPr>
          <w:rFonts w:ascii="宋体" w:hAnsi="宋体" w:cs="宋体"/>
          <w:sz w:val="24"/>
          <w:szCs w:val="24"/>
          <w:highlight w:val="none"/>
        </w:rPr>
      </w:pPr>
      <w:r>
        <w:rPr>
          <w:rFonts w:hint="eastAsia" w:ascii="宋体" w:hAnsi="宋体" w:cs="宋体"/>
          <w:b/>
          <w:bCs/>
          <w:sz w:val="24"/>
          <w:szCs w:val="24"/>
          <w:highlight w:val="none"/>
        </w:rPr>
        <w:t>注：</w:t>
      </w:r>
      <w:r>
        <w:rPr>
          <w:rFonts w:hint="eastAsia" w:ascii="宋体" w:hAnsi="宋体" w:cs="宋体"/>
          <w:sz w:val="24"/>
          <w:szCs w:val="28"/>
          <w:highlight w:val="none"/>
        </w:rPr>
        <w:t>提供的服务满足采购需求；付款及服务期等均应响应磋商文件要求。</w:t>
      </w:r>
      <w:r>
        <w:rPr>
          <w:rFonts w:hint="eastAsia" w:ascii="宋体" w:hAnsi="宋体" w:cs="宋体"/>
          <w:bCs/>
          <w:sz w:val="24"/>
          <w:szCs w:val="24"/>
          <w:highlight w:val="none"/>
        </w:rPr>
        <w:br w:type="page"/>
      </w:r>
      <w:bookmarkStart w:id="155" w:name="_Toc29422"/>
      <w:bookmarkStart w:id="156" w:name="_Toc22037"/>
      <w:r>
        <w:rPr>
          <w:rStyle w:val="95"/>
          <w:rFonts w:hint="eastAsia" w:ascii="宋体" w:hAnsi="宋体" w:eastAsia="宋体" w:cs="宋体"/>
          <w:b/>
          <w:bCs/>
          <w:sz w:val="24"/>
          <w:szCs w:val="24"/>
          <w:highlight w:val="none"/>
        </w:rPr>
        <w:t>附件</w:t>
      </w:r>
      <w:bookmarkEnd w:id="154"/>
      <w:r>
        <w:rPr>
          <w:rStyle w:val="95"/>
          <w:rFonts w:hint="eastAsia" w:ascii="宋体" w:hAnsi="宋体" w:eastAsia="宋体" w:cs="宋体"/>
          <w:b/>
          <w:bCs/>
          <w:sz w:val="24"/>
          <w:szCs w:val="24"/>
          <w:highlight w:val="none"/>
        </w:rPr>
        <w:t>七</w:t>
      </w:r>
      <w:bookmarkEnd w:id="155"/>
      <w:bookmarkEnd w:id="156"/>
    </w:p>
    <w:p w14:paraId="4F7498EA">
      <w:pPr>
        <w:pStyle w:val="3"/>
        <w:spacing w:before="0" w:after="0" w:line="560" w:lineRule="exact"/>
        <w:jc w:val="center"/>
        <w:rPr>
          <w:rFonts w:ascii="宋体" w:hAnsi="宋体" w:eastAsia="宋体" w:cs="宋体"/>
          <w:sz w:val="24"/>
          <w:szCs w:val="24"/>
          <w:highlight w:val="none"/>
        </w:rPr>
      </w:pPr>
      <w:bookmarkStart w:id="157" w:name="_Toc1624"/>
      <w:bookmarkStart w:id="158" w:name="_Toc30527"/>
      <w:bookmarkStart w:id="159" w:name="_Toc18625"/>
      <w:r>
        <w:rPr>
          <w:rFonts w:hint="eastAsia" w:ascii="宋体" w:hAnsi="宋体" w:eastAsia="宋体" w:cs="宋体"/>
          <w:sz w:val="24"/>
          <w:szCs w:val="24"/>
          <w:highlight w:val="none"/>
        </w:rPr>
        <w:t>相关服务承诺函</w:t>
      </w:r>
      <w:bookmarkEnd w:id="157"/>
      <w:bookmarkEnd w:id="158"/>
      <w:bookmarkEnd w:id="159"/>
    </w:p>
    <w:p w14:paraId="363C8FD0">
      <w:pPr>
        <w:jc w:val="center"/>
        <w:rPr>
          <w:rFonts w:ascii="宋体" w:hAnsi="宋体" w:cs="宋体"/>
          <w:sz w:val="24"/>
          <w:szCs w:val="28"/>
          <w:highlight w:val="none"/>
        </w:rPr>
      </w:pPr>
    </w:p>
    <w:p w14:paraId="07553B02">
      <w:pPr>
        <w:jc w:val="center"/>
        <w:rPr>
          <w:rFonts w:ascii="宋体" w:hAnsi="宋体" w:cs="宋体"/>
          <w:sz w:val="24"/>
          <w:szCs w:val="28"/>
          <w:highlight w:val="none"/>
        </w:rPr>
      </w:pPr>
      <w:r>
        <w:rPr>
          <w:rFonts w:hint="eastAsia" w:ascii="宋体" w:hAnsi="宋体" w:cs="宋体"/>
          <w:sz w:val="24"/>
          <w:szCs w:val="28"/>
          <w:highlight w:val="none"/>
        </w:rPr>
        <w:t>(供应商可自行制作格式)</w:t>
      </w:r>
    </w:p>
    <w:p w14:paraId="7471DA16">
      <w:pPr>
        <w:rPr>
          <w:rFonts w:ascii="宋体" w:hAnsi="宋体" w:cs="宋体"/>
          <w:highlight w:val="none"/>
        </w:rPr>
      </w:pPr>
    </w:p>
    <w:p w14:paraId="3C4D2C28">
      <w:pPr>
        <w:rPr>
          <w:rFonts w:ascii="宋体" w:hAnsi="宋体" w:cs="宋体"/>
          <w:highlight w:val="none"/>
        </w:rPr>
      </w:pPr>
    </w:p>
    <w:p w14:paraId="2DAC79A8">
      <w:pPr>
        <w:spacing w:before="120" w:after="120"/>
        <w:outlineLvl w:val="9"/>
        <w:rPr>
          <w:rFonts w:ascii="宋体" w:hAnsi="宋体" w:eastAsia="宋体" w:cs="宋体"/>
          <w:sz w:val="24"/>
          <w:szCs w:val="24"/>
          <w:highlight w:val="none"/>
        </w:rPr>
      </w:pPr>
      <w:bookmarkStart w:id="160" w:name="_Toc3177"/>
      <w:r>
        <w:rPr>
          <w:rFonts w:hint="eastAsia" w:ascii="宋体" w:hAnsi="宋体" w:eastAsia="宋体" w:cs="宋体"/>
          <w:sz w:val="24"/>
          <w:szCs w:val="24"/>
          <w:highlight w:val="none"/>
        </w:rPr>
        <w:br w:type="page"/>
      </w:r>
      <w:bookmarkStart w:id="161" w:name="_Toc3796"/>
      <w:bookmarkStart w:id="162" w:name="_Toc2879"/>
      <w:bookmarkStart w:id="163" w:name="_Toc13577"/>
      <w:r>
        <w:rPr>
          <w:rFonts w:hint="eastAsia" w:ascii="宋体" w:hAnsi="宋体" w:eastAsia="宋体" w:cs="宋体"/>
          <w:b/>
          <w:bCs/>
          <w:sz w:val="24"/>
          <w:szCs w:val="24"/>
          <w:highlight w:val="none"/>
        </w:rPr>
        <w:t>附件八</w:t>
      </w:r>
      <w:bookmarkEnd w:id="161"/>
      <w:bookmarkEnd w:id="162"/>
      <w:bookmarkEnd w:id="163"/>
    </w:p>
    <w:bookmarkEnd w:id="160"/>
    <w:p w14:paraId="42FCDE96">
      <w:pPr>
        <w:pStyle w:val="3"/>
        <w:spacing w:before="0" w:after="0" w:line="560" w:lineRule="exact"/>
        <w:jc w:val="center"/>
        <w:rPr>
          <w:rFonts w:ascii="宋体" w:hAnsi="宋体" w:eastAsia="宋体" w:cs="宋体"/>
          <w:sz w:val="24"/>
          <w:szCs w:val="24"/>
          <w:highlight w:val="none"/>
        </w:rPr>
      </w:pPr>
      <w:bookmarkStart w:id="164" w:name="_Toc5794"/>
      <w:bookmarkStart w:id="165" w:name="_Toc23763"/>
      <w:bookmarkStart w:id="166" w:name="_Toc20094"/>
      <w:bookmarkStart w:id="167" w:name="_Toc28327"/>
      <w:r>
        <w:rPr>
          <w:rFonts w:hint="eastAsia" w:ascii="宋体" w:hAnsi="宋体" w:eastAsia="宋体" w:cs="宋体"/>
          <w:sz w:val="24"/>
          <w:szCs w:val="24"/>
          <w:highlight w:val="none"/>
        </w:rPr>
        <w:t>联合体协议</w:t>
      </w:r>
      <w:bookmarkEnd w:id="164"/>
      <w:bookmarkEnd w:id="165"/>
      <w:bookmarkEnd w:id="166"/>
      <w:bookmarkEnd w:id="167"/>
    </w:p>
    <w:p w14:paraId="7F07390D">
      <w:pPr>
        <w:spacing w:line="360" w:lineRule="auto"/>
        <w:jc w:val="center"/>
        <w:rPr>
          <w:rFonts w:ascii="宋体" w:hAnsi="宋体" w:cs="宋体"/>
          <w:sz w:val="24"/>
          <w:szCs w:val="24"/>
          <w:highlight w:val="none"/>
        </w:rPr>
      </w:pPr>
      <w:r>
        <w:rPr>
          <w:rFonts w:hint="eastAsia" w:ascii="宋体" w:hAnsi="宋体" w:cs="宋体"/>
          <w:sz w:val="24"/>
          <w:szCs w:val="24"/>
          <w:highlight w:val="none"/>
        </w:rPr>
        <w:t>（不允许联合体参加磋商或未组成联合体的，不需此件）</w:t>
      </w:r>
    </w:p>
    <w:p w14:paraId="288D60D5">
      <w:pPr>
        <w:spacing w:line="360" w:lineRule="auto"/>
        <w:jc w:val="center"/>
        <w:rPr>
          <w:rFonts w:ascii="宋体" w:hAnsi="宋体" w:cs="宋体"/>
          <w:spacing w:val="-6"/>
          <w:sz w:val="24"/>
          <w:szCs w:val="24"/>
          <w:highlight w:val="none"/>
        </w:rPr>
      </w:pPr>
      <w:r>
        <w:rPr>
          <w:rFonts w:hint="eastAsia" w:ascii="宋体" w:hAnsi="宋体" w:cs="宋体"/>
          <w:spacing w:val="-6"/>
          <w:sz w:val="24"/>
          <w:szCs w:val="24"/>
          <w:highlight w:val="none"/>
        </w:rPr>
        <w:t>（允许联合体参加磋商且供应商为联合体的，请将此件加盖公章后制成扫描件上传）</w:t>
      </w:r>
    </w:p>
    <w:p w14:paraId="75FD8045">
      <w:pPr>
        <w:rPr>
          <w:rFonts w:ascii="宋体" w:hAnsi="宋体" w:cs="宋体"/>
          <w:sz w:val="24"/>
          <w:szCs w:val="24"/>
          <w:highlight w:val="none"/>
        </w:rPr>
      </w:pPr>
    </w:p>
    <w:p w14:paraId="644774F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与</w:t>
      </w:r>
      <w:r>
        <w:rPr>
          <w:rFonts w:hint="eastAsia" w:ascii="宋体" w:hAnsi="宋体" w:cs="宋体"/>
          <w:sz w:val="24"/>
          <w:szCs w:val="24"/>
          <w:highlight w:val="none"/>
          <w:u w:val="single"/>
        </w:rPr>
        <w:t xml:space="preserve">          </w:t>
      </w:r>
      <w:r>
        <w:rPr>
          <w:rFonts w:hint="eastAsia" w:ascii="宋体" w:hAnsi="宋体" w:cs="宋体"/>
          <w:sz w:val="24"/>
          <w:szCs w:val="24"/>
          <w:highlight w:val="none"/>
        </w:rPr>
        <w:t>就“</w:t>
      </w:r>
      <w:r>
        <w:rPr>
          <w:rFonts w:hint="eastAsia" w:ascii="宋体" w:hAnsi="宋体" w:cs="宋体"/>
          <w:sz w:val="24"/>
          <w:szCs w:val="24"/>
          <w:highlight w:val="none"/>
          <w:u w:val="single"/>
        </w:rPr>
        <w:t>某项目</w:t>
      </w:r>
      <w:r>
        <w:rPr>
          <w:rFonts w:hint="eastAsia" w:ascii="宋体" w:hAnsi="宋体" w:cs="宋体"/>
          <w:sz w:val="24"/>
          <w:szCs w:val="24"/>
          <w:highlight w:val="none"/>
        </w:rPr>
        <w:t>”（项目编号：</w:t>
      </w:r>
      <w:r>
        <w:rPr>
          <w:rFonts w:hint="eastAsia" w:ascii="宋体" w:hAnsi="宋体" w:cs="宋体"/>
          <w:sz w:val="24"/>
          <w:szCs w:val="24"/>
          <w:highlight w:val="none"/>
          <w:u w:val="single"/>
        </w:rPr>
        <w:t>某编号</w:t>
      </w:r>
      <w:r>
        <w:rPr>
          <w:rFonts w:hint="eastAsia" w:ascii="宋体" w:hAnsi="宋体" w:cs="宋体"/>
          <w:sz w:val="24"/>
          <w:szCs w:val="24"/>
          <w:highlight w:val="none"/>
        </w:rPr>
        <w:t>）的磋商有关事宜，经各方充分协商一致，达成如下协议：</w:t>
      </w:r>
    </w:p>
    <w:p w14:paraId="790912F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一、由</w:t>
      </w:r>
      <w:r>
        <w:rPr>
          <w:rFonts w:hint="eastAsia" w:ascii="宋体" w:hAnsi="宋体" w:cs="宋体"/>
          <w:sz w:val="24"/>
          <w:szCs w:val="24"/>
          <w:highlight w:val="none"/>
          <w:u w:val="single"/>
        </w:rPr>
        <w:t xml:space="preserve">    </w:t>
      </w:r>
      <w:r>
        <w:rPr>
          <w:rFonts w:hint="eastAsia" w:ascii="宋体" w:hAnsi="宋体" w:cs="宋体"/>
          <w:sz w:val="24"/>
          <w:szCs w:val="24"/>
          <w:highlight w:val="none"/>
        </w:rPr>
        <w:t>牵头，</w:t>
      </w:r>
      <w:r>
        <w:rPr>
          <w:rFonts w:hint="eastAsia" w:ascii="宋体" w:hAnsi="宋体" w:cs="宋体"/>
          <w:sz w:val="24"/>
          <w:szCs w:val="24"/>
          <w:highlight w:val="none"/>
          <w:u w:val="single"/>
        </w:rPr>
        <w:t xml:space="preserve">    </w:t>
      </w:r>
      <w:r>
        <w:rPr>
          <w:rFonts w:hint="eastAsia" w:ascii="宋体" w:hAnsi="宋体" w:cs="宋体"/>
          <w:sz w:val="24"/>
          <w:szCs w:val="24"/>
          <w:highlight w:val="none"/>
        </w:rPr>
        <w:t>参加，组成联合体共同进行本项目的磋商工作。</w:t>
      </w:r>
    </w:p>
    <w:p w14:paraId="3A5C228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二、</w:t>
      </w:r>
      <w:r>
        <w:rPr>
          <w:rFonts w:hint="eastAsia" w:ascii="宋体" w:hAnsi="宋体" w:cs="宋体"/>
          <w:sz w:val="24"/>
          <w:szCs w:val="24"/>
          <w:highlight w:val="none"/>
          <w:u w:val="single"/>
        </w:rPr>
        <w:t xml:space="preserve">          </w:t>
      </w:r>
      <w:r>
        <w:rPr>
          <w:rFonts w:hint="eastAsia" w:ascii="宋体" w:hAnsi="宋体" w:cs="宋体"/>
          <w:sz w:val="24"/>
          <w:szCs w:val="24"/>
          <w:highlight w:val="none"/>
        </w:rPr>
        <w:t>为本次磋商的主体方，联合体以主体方的名义参加磋商。主体方负责磋商项目的一切组织、协调工作，并授权磋商代理人以联合体的名义参加项目的磋商，代理人在响应文件提交、磋商、合同签订过程中所签署的一切文件和处理与本次采购的有关一切事物，联合体各方均予以承认并承担法律责任。联合体成交后，联合体各方共同与采购人签订合同，就本成交项目对采购人承担连带责任。</w:t>
      </w:r>
    </w:p>
    <w:p w14:paraId="60B7DD7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三、如联合体成交，则主体方负责</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等工作；参加方负责</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等工作。各方各自承担相应的责任。</w:t>
      </w:r>
    </w:p>
    <w:p w14:paraId="4E769DE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四、各方不得再以自己名义单独在本项目中参加磋商，也不得组成新的联合体参加本项目磋商。</w:t>
      </w:r>
    </w:p>
    <w:p w14:paraId="07C5487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五、参加方负责内容的合同金额占联合体协议合同总金额百分之</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4542142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六、主体方负责内容的合同金额占联合体协议合同总金额百分之</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55ECCDE0">
      <w:pPr>
        <w:spacing w:line="360" w:lineRule="auto"/>
        <w:ind w:firstLine="480" w:firstLineChars="200"/>
        <w:outlineLvl w:val="9"/>
        <w:rPr>
          <w:rFonts w:ascii="宋体" w:hAnsi="宋体" w:cs="宋体"/>
          <w:sz w:val="24"/>
          <w:szCs w:val="24"/>
          <w:highlight w:val="none"/>
        </w:rPr>
      </w:pPr>
      <w:r>
        <w:rPr>
          <w:rFonts w:hint="eastAsia" w:ascii="宋体" w:hAnsi="宋体" w:cs="宋体"/>
          <w:sz w:val="24"/>
          <w:szCs w:val="24"/>
          <w:highlight w:val="none"/>
        </w:rPr>
        <w:t>七、未成交，本协议自动废止。</w:t>
      </w:r>
    </w:p>
    <w:p w14:paraId="178C593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主体方：（公章）                      参加方：（公章）</w:t>
      </w:r>
    </w:p>
    <w:p w14:paraId="1C21759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法定代表人：                          法定代表人： </w:t>
      </w:r>
    </w:p>
    <w:p w14:paraId="2D913BD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地址：                                地址：</w:t>
      </w:r>
    </w:p>
    <w:p w14:paraId="646E208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邮编：                                邮编：</w:t>
      </w:r>
    </w:p>
    <w:p w14:paraId="1DA68A7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电话：                                电话：</w:t>
      </w:r>
    </w:p>
    <w:p w14:paraId="5A146F09">
      <w:pPr>
        <w:rPr>
          <w:rFonts w:ascii="宋体" w:hAnsi="宋体" w:cs="宋体"/>
          <w:highlight w:val="none"/>
        </w:rPr>
      </w:pPr>
    </w:p>
    <w:p w14:paraId="1C32C481">
      <w:pPr>
        <w:jc w:val="right"/>
        <w:rPr>
          <w:rFonts w:ascii="宋体" w:hAnsi="宋体" w:cs="宋体"/>
          <w:b/>
          <w:bCs/>
          <w:sz w:val="24"/>
          <w:szCs w:val="24"/>
          <w:highlight w:val="none"/>
        </w:rPr>
      </w:pPr>
    </w:p>
    <w:p w14:paraId="7E367231">
      <w:pPr>
        <w:jc w:val="right"/>
        <w:rPr>
          <w:rFonts w:ascii="宋体" w:hAnsi="宋体" w:cs="宋体"/>
          <w:bCs/>
          <w:sz w:val="24"/>
          <w:szCs w:val="24"/>
          <w:highlight w:val="none"/>
        </w:rPr>
      </w:pPr>
      <w:r>
        <w:rPr>
          <w:rFonts w:hint="eastAsia" w:ascii="宋体" w:hAnsi="宋体" w:cs="宋体"/>
          <w:bCs/>
          <w:sz w:val="24"/>
          <w:szCs w:val="24"/>
          <w:highlight w:val="none"/>
        </w:rPr>
        <w:t>签订日期</w:t>
      </w:r>
      <w:r>
        <w:rPr>
          <w:rFonts w:hint="eastAsia" w:ascii="宋体" w:hAnsi="宋体" w:cs="宋体"/>
          <w:bCs/>
          <w:sz w:val="24"/>
          <w:szCs w:val="24"/>
          <w:highlight w:val="none"/>
          <w:lang w:eastAsia="zh-CN"/>
        </w:rPr>
        <w:t>：</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年</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月</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日</w:t>
      </w:r>
    </w:p>
    <w:p w14:paraId="63ED8E9F">
      <w:pPr>
        <w:rPr>
          <w:rFonts w:ascii="宋体" w:hAnsi="宋体" w:cs="宋体"/>
          <w:b/>
          <w:bCs/>
          <w:sz w:val="24"/>
          <w:szCs w:val="24"/>
          <w:highlight w:val="none"/>
        </w:rPr>
      </w:pPr>
      <w:r>
        <w:rPr>
          <w:rFonts w:hint="eastAsia" w:ascii="宋体" w:hAnsi="宋体" w:cs="宋体"/>
          <w:b/>
          <w:bCs/>
          <w:sz w:val="24"/>
          <w:szCs w:val="24"/>
          <w:highlight w:val="none"/>
        </w:rPr>
        <w:br w:type="page"/>
      </w:r>
    </w:p>
    <w:p w14:paraId="10CF1F9E">
      <w:pPr>
        <w:outlineLvl w:val="9"/>
        <w:rPr>
          <w:rStyle w:val="95"/>
          <w:rFonts w:hint="eastAsia" w:ascii="宋体" w:hAnsi="宋体" w:eastAsia="宋体" w:cs="宋体"/>
          <w:sz w:val="24"/>
          <w:szCs w:val="24"/>
          <w:highlight w:val="none"/>
          <w:lang w:val="en-US" w:eastAsia="zh-CN"/>
        </w:rPr>
      </w:pPr>
      <w:bookmarkStart w:id="168" w:name="_Toc2238"/>
      <w:bookmarkStart w:id="169" w:name="_Toc3162"/>
      <w:bookmarkStart w:id="170" w:name="_Toc7571"/>
      <w:r>
        <w:rPr>
          <w:rStyle w:val="95"/>
          <w:rFonts w:hint="eastAsia" w:ascii="宋体" w:hAnsi="宋体" w:eastAsia="宋体" w:cs="宋体"/>
          <w:sz w:val="24"/>
          <w:szCs w:val="24"/>
          <w:highlight w:val="none"/>
        </w:rPr>
        <w:t>附件</w:t>
      </w:r>
      <w:bookmarkEnd w:id="168"/>
      <w:bookmarkEnd w:id="169"/>
      <w:r>
        <w:rPr>
          <w:rStyle w:val="95"/>
          <w:rFonts w:hint="eastAsia" w:ascii="宋体" w:hAnsi="宋体" w:cs="宋体"/>
          <w:sz w:val="24"/>
          <w:szCs w:val="24"/>
          <w:highlight w:val="none"/>
          <w:lang w:val="en-US" w:eastAsia="zh-CN"/>
        </w:rPr>
        <w:t>九</w:t>
      </w:r>
    </w:p>
    <w:bookmarkEnd w:id="170"/>
    <w:p w14:paraId="78B61DEB">
      <w:pPr>
        <w:spacing w:line="360" w:lineRule="auto"/>
        <w:rPr>
          <w:rFonts w:ascii="宋体" w:hAnsi="宋体" w:cs="宋体"/>
          <w:bCs/>
          <w:sz w:val="24"/>
          <w:szCs w:val="24"/>
          <w:highlight w:val="none"/>
        </w:rPr>
      </w:pPr>
      <w:bookmarkStart w:id="171" w:name="_Toc28850"/>
    </w:p>
    <w:p w14:paraId="513421A7">
      <w:pPr>
        <w:spacing w:line="360" w:lineRule="auto"/>
        <w:jc w:val="center"/>
        <w:outlineLvl w:val="1"/>
        <w:rPr>
          <w:rFonts w:ascii="宋体" w:hAnsi="宋体" w:cs="宋体"/>
          <w:bCs/>
          <w:sz w:val="24"/>
          <w:szCs w:val="24"/>
          <w:highlight w:val="none"/>
        </w:rPr>
      </w:pPr>
      <w:r>
        <w:rPr>
          <w:rFonts w:hint="eastAsia" w:ascii="宋体" w:hAnsi="宋体" w:cs="宋体"/>
          <w:bCs/>
          <w:sz w:val="24"/>
          <w:szCs w:val="24"/>
          <w:highlight w:val="none"/>
        </w:rPr>
        <w:t>磋商文件要求和供应商认为需要提供的其它说明和资料</w:t>
      </w:r>
      <w:bookmarkEnd w:id="171"/>
    </w:p>
    <w:p w14:paraId="0DDE71BB">
      <w:pPr>
        <w:jc w:val="center"/>
        <w:outlineLvl w:val="9"/>
        <w:rPr>
          <w:rFonts w:hint="eastAsia" w:ascii="宋体" w:hAnsi="宋体" w:cs="宋体"/>
          <w:bCs/>
          <w:sz w:val="24"/>
          <w:szCs w:val="24"/>
          <w:highlight w:val="none"/>
          <w:lang w:eastAsia="zh-CN"/>
        </w:rPr>
      </w:pPr>
      <w:r>
        <w:rPr>
          <w:rFonts w:hint="eastAsia" w:ascii="宋体" w:hAnsi="宋体" w:cs="宋体"/>
          <w:bCs/>
          <w:sz w:val="24"/>
          <w:szCs w:val="24"/>
          <w:highlight w:val="none"/>
          <w:lang w:eastAsia="zh-CN"/>
        </w:rPr>
        <w:t>（</w:t>
      </w:r>
      <w:r>
        <w:rPr>
          <w:rFonts w:hint="eastAsia" w:ascii="宋体" w:hAnsi="宋体" w:cs="宋体"/>
          <w:bCs/>
          <w:sz w:val="24"/>
          <w:szCs w:val="24"/>
          <w:highlight w:val="none"/>
          <w:lang w:val="en-US" w:eastAsia="zh-CN"/>
        </w:rPr>
        <w:t>按照评审顺序依次编入投标文件</w:t>
      </w:r>
      <w:r>
        <w:rPr>
          <w:rFonts w:hint="eastAsia" w:ascii="宋体" w:hAnsi="宋体" w:cs="宋体"/>
          <w:bCs/>
          <w:sz w:val="24"/>
          <w:szCs w:val="24"/>
          <w:highlight w:val="none"/>
          <w:lang w:eastAsia="zh-CN"/>
        </w:rPr>
        <w:t>）</w:t>
      </w:r>
    </w:p>
    <w:p w14:paraId="2813EC05">
      <w:pPr>
        <w:rPr>
          <w:rFonts w:hint="eastAsia" w:ascii="宋体" w:hAnsi="宋体" w:cs="宋体"/>
          <w:bCs/>
          <w:sz w:val="24"/>
          <w:szCs w:val="24"/>
          <w:highlight w:val="none"/>
          <w:lang w:eastAsia="zh-CN"/>
        </w:rPr>
      </w:pPr>
      <w:r>
        <w:rPr>
          <w:rFonts w:hint="eastAsia" w:ascii="宋体" w:hAnsi="宋体" w:cs="宋体"/>
          <w:bCs/>
          <w:sz w:val="24"/>
          <w:szCs w:val="24"/>
          <w:highlight w:val="none"/>
          <w:lang w:eastAsia="zh-CN"/>
        </w:rPr>
        <w:br w:type="page"/>
      </w:r>
    </w:p>
    <w:p w14:paraId="6F287BF5">
      <w:pPr>
        <w:adjustRightInd w:val="0"/>
        <w:snapToGrid w:val="0"/>
        <w:spacing w:line="320" w:lineRule="auto"/>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最终磋商报价书</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9B9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noWrap w:val="0"/>
            <w:vAlign w:val="center"/>
          </w:tcPr>
          <w:p w14:paraId="5E7061D7">
            <w:pPr>
              <w:widowControl/>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项目名称</w:t>
            </w:r>
          </w:p>
        </w:tc>
        <w:tc>
          <w:tcPr>
            <w:tcW w:w="6667" w:type="dxa"/>
            <w:tcBorders>
              <w:top w:val="single" w:color="auto" w:sz="4" w:space="0"/>
              <w:bottom w:val="single" w:color="auto" w:sz="4" w:space="0"/>
              <w:right w:val="single" w:color="auto" w:sz="4" w:space="0"/>
            </w:tcBorders>
            <w:noWrap w:val="0"/>
            <w:vAlign w:val="center"/>
          </w:tcPr>
          <w:p w14:paraId="5B3FD8DE">
            <w:pPr>
              <w:spacing w:line="360" w:lineRule="exact"/>
              <w:jc w:val="center"/>
              <w:rPr>
                <w:rFonts w:hint="eastAsia" w:ascii="宋体" w:hAnsi="宋体"/>
                <w:bCs/>
                <w:color w:val="auto"/>
                <w:sz w:val="24"/>
                <w:szCs w:val="24"/>
                <w:highlight w:val="none"/>
                <w:u w:val="single"/>
              </w:rPr>
            </w:pPr>
          </w:p>
        </w:tc>
      </w:tr>
      <w:tr w14:paraId="60DAE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4CB84E21">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项目编号</w:t>
            </w:r>
          </w:p>
        </w:tc>
        <w:tc>
          <w:tcPr>
            <w:tcW w:w="6667" w:type="dxa"/>
            <w:tcBorders>
              <w:top w:val="nil"/>
            </w:tcBorders>
            <w:noWrap w:val="0"/>
            <w:vAlign w:val="center"/>
          </w:tcPr>
          <w:p w14:paraId="397322E4">
            <w:pPr>
              <w:jc w:val="center"/>
              <w:rPr>
                <w:rFonts w:hint="eastAsia" w:ascii="宋体" w:hAnsi="宋体"/>
                <w:bCs/>
                <w:color w:val="auto"/>
                <w:sz w:val="24"/>
                <w:szCs w:val="24"/>
                <w:highlight w:val="none"/>
              </w:rPr>
            </w:pPr>
          </w:p>
        </w:tc>
      </w:tr>
      <w:tr w14:paraId="44124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0B9DE3B2">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磋商</w:t>
            </w:r>
            <w:r>
              <w:rPr>
                <w:rFonts w:hint="eastAsia" w:ascii="宋体" w:hAnsi="宋体"/>
                <w:b/>
                <w:color w:val="auto"/>
                <w:sz w:val="24"/>
                <w:szCs w:val="24"/>
                <w:highlight w:val="none"/>
              </w:rPr>
              <w:t>供应商全称</w:t>
            </w:r>
          </w:p>
        </w:tc>
        <w:tc>
          <w:tcPr>
            <w:tcW w:w="6667" w:type="dxa"/>
            <w:tcBorders>
              <w:top w:val="nil"/>
            </w:tcBorders>
            <w:noWrap w:val="0"/>
            <w:vAlign w:val="center"/>
          </w:tcPr>
          <w:p w14:paraId="675AAE64">
            <w:pPr>
              <w:spacing w:line="360" w:lineRule="auto"/>
              <w:rPr>
                <w:rFonts w:hint="eastAsia" w:ascii="宋体" w:hAnsi="宋体"/>
                <w:bCs/>
                <w:color w:val="auto"/>
                <w:sz w:val="24"/>
                <w:szCs w:val="24"/>
                <w:highlight w:val="none"/>
              </w:rPr>
            </w:pPr>
          </w:p>
        </w:tc>
      </w:tr>
      <w:tr w14:paraId="69E3F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2A36E955">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磋商</w:t>
            </w:r>
            <w:r>
              <w:rPr>
                <w:rFonts w:hint="eastAsia" w:ascii="宋体" w:hAnsi="宋体"/>
                <w:b/>
                <w:color w:val="auto"/>
                <w:sz w:val="24"/>
                <w:szCs w:val="24"/>
                <w:highlight w:val="none"/>
              </w:rPr>
              <w:t>范围</w:t>
            </w:r>
          </w:p>
        </w:tc>
        <w:tc>
          <w:tcPr>
            <w:tcW w:w="6667" w:type="dxa"/>
            <w:tcBorders>
              <w:top w:val="nil"/>
            </w:tcBorders>
            <w:noWrap w:val="0"/>
            <w:vAlign w:val="center"/>
          </w:tcPr>
          <w:p w14:paraId="2CBBA4A2">
            <w:pPr>
              <w:widowControl/>
              <w:spacing w:line="360" w:lineRule="exact"/>
              <w:rPr>
                <w:rFonts w:hint="eastAsia" w:ascii="宋体" w:hAnsi="宋体"/>
                <w:bCs/>
                <w:color w:val="auto"/>
                <w:sz w:val="24"/>
                <w:szCs w:val="24"/>
                <w:highlight w:val="none"/>
              </w:rPr>
            </w:pPr>
            <w:r>
              <w:rPr>
                <w:rFonts w:hint="eastAsia" w:ascii="宋体" w:hAnsi="宋体"/>
                <w:bCs/>
                <w:color w:val="auto"/>
                <w:sz w:val="24"/>
                <w:szCs w:val="24"/>
                <w:highlight w:val="none"/>
              </w:rPr>
              <w:t>第</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包(不分包项目填写“全部”)</w:t>
            </w:r>
          </w:p>
        </w:tc>
      </w:tr>
      <w:tr w14:paraId="5388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9" w:hRule="atLeast"/>
          <w:jc w:val="center"/>
        </w:trPr>
        <w:tc>
          <w:tcPr>
            <w:tcW w:w="2471" w:type="dxa"/>
            <w:tcBorders>
              <w:top w:val="nil"/>
            </w:tcBorders>
            <w:noWrap w:val="0"/>
            <w:vAlign w:val="center"/>
          </w:tcPr>
          <w:p w14:paraId="40271393">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磋商</w:t>
            </w:r>
            <w:r>
              <w:rPr>
                <w:rFonts w:hint="eastAsia" w:ascii="宋体" w:hAnsi="宋体"/>
                <w:b/>
                <w:color w:val="auto"/>
                <w:sz w:val="24"/>
                <w:szCs w:val="24"/>
                <w:highlight w:val="none"/>
              </w:rPr>
              <w:t>报价</w:t>
            </w:r>
          </w:p>
          <w:p w14:paraId="20703B43">
            <w:pPr>
              <w:spacing w:line="360" w:lineRule="exact"/>
              <w:jc w:val="center"/>
              <w:rPr>
                <w:rFonts w:ascii="宋体" w:hAnsi="宋体"/>
                <w:b/>
                <w:color w:val="auto"/>
                <w:sz w:val="24"/>
                <w:szCs w:val="24"/>
                <w:highlight w:val="none"/>
              </w:rPr>
            </w:pPr>
            <w:r>
              <w:rPr>
                <w:rFonts w:hint="eastAsia" w:ascii="宋体" w:hAnsi="宋体"/>
                <w:b/>
                <w:color w:val="auto"/>
                <w:sz w:val="24"/>
                <w:szCs w:val="24"/>
                <w:highlight w:val="none"/>
              </w:rPr>
              <w:t>（人民币）</w:t>
            </w:r>
          </w:p>
        </w:tc>
        <w:tc>
          <w:tcPr>
            <w:tcW w:w="6667" w:type="dxa"/>
            <w:tcBorders>
              <w:top w:val="nil"/>
            </w:tcBorders>
            <w:noWrap w:val="0"/>
            <w:vAlign w:val="center"/>
          </w:tcPr>
          <w:p w14:paraId="7E8E0E1D">
            <w:pPr>
              <w:spacing w:line="360" w:lineRule="auto"/>
              <w:ind w:right="-670"/>
              <w:rPr>
                <w:rFonts w:hint="eastAsia" w:ascii="宋体" w:hAnsi="宋体"/>
                <w:bCs/>
                <w:color w:val="auto"/>
                <w:sz w:val="24"/>
                <w:szCs w:val="24"/>
                <w:highlight w:val="none"/>
                <w:u w:val="single"/>
              </w:rPr>
            </w:pPr>
            <w:r>
              <w:rPr>
                <w:rFonts w:hint="eastAsia" w:ascii="宋体" w:hAnsi="宋体"/>
                <w:bCs/>
                <w:color w:val="auto"/>
                <w:sz w:val="24"/>
                <w:szCs w:val="24"/>
                <w:highlight w:val="none"/>
              </w:rPr>
              <w:t>大写：</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元</w:t>
            </w:r>
            <w:r>
              <w:rPr>
                <w:rFonts w:hint="eastAsia" w:ascii="宋体" w:hAnsi="宋体"/>
                <w:bCs/>
                <w:color w:val="auto"/>
                <w:sz w:val="24"/>
                <w:szCs w:val="24"/>
                <w:highlight w:val="none"/>
                <w:u w:val="single"/>
              </w:rPr>
              <w:t xml:space="preserve"> </w:t>
            </w:r>
          </w:p>
          <w:p w14:paraId="14CB0B11">
            <w:pPr>
              <w:spacing w:line="360" w:lineRule="auto"/>
              <w:ind w:right="-670"/>
              <w:rPr>
                <w:rFonts w:hint="default" w:ascii="宋体" w:hAnsi="宋体" w:eastAsia="宋体"/>
                <w:bCs/>
                <w:color w:val="auto"/>
                <w:sz w:val="24"/>
                <w:szCs w:val="24"/>
                <w:highlight w:val="none"/>
                <w:u w:val="single"/>
                <w:lang w:val="en-US" w:eastAsia="zh-CN"/>
              </w:rPr>
            </w:pPr>
            <w:r>
              <w:rPr>
                <w:rFonts w:hint="eastAsia" w:ascii="宋体" w:hAnsi="宋体"/>
                <w:bCs/>
                <w:color w:val="auto"/>
                <w:sz w:val="24"/>
                <w:szCs w:val="24"/>
                <w:highlight w:val="none"/>
                <w:lang w:eastAsia="zh-CN"/>
              </w:rPr>
              <w:t>小写：</w:t>
            </w:r>
            <w:r>
              <w:rPr>
                <w:rFonts w:hint="eastAsia" w:ascii="宋体" w:hAnsi="宋体"/>
                <w:bCs/>
                <w:color w:val="auto"/>
                <w:sz w:val="24"/>
                <w:szCs w:val="24"/>
                <w:highlight w:val="none"/>
                <w:u w:val="single"/>
                <w:lang w:val="en-US" w:eastAsia="zh-CN"/>
              </w:rPr>
              <w:t xml:space="preserve">                    元 </w:t>
            </w:r>
          </w:p>
        </w:tc>
      </w:tr>
      <w:tr w14:paraId="2D54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noWrap w:val="0"/>
            <w:vAlign w:val="center"/>
          </w:tcPr>
          <w:p w14:paraId="6A2A2038">
            <w:pPr>
              <w:spacing w:line="360" w:lineRule="auto"/>
              <w:jc w:val="center"/>
              <w:rPr>
                <w:rFonts w:ascii="宋体" w:hAnsi="宋体"/>
                <w:b/>
                <w:color w:val="auto"/>
                <w:sz w:val="24"/>
                <w:szCs w:val="24"/>
                <w:highlight w:val="none"/>
              </w:rPr>
            </w:pPr>
            <w:r>
              <w:rPr>
                <w:rFonts w:hint="eastAsia" w:ascii="宋体" w:hAnsi="宋体"/>
                <w:b/>
                <w:color w:val="auto"/>
                <w:sz w:val="24"/>
                <w:szCs w:val="24"/>
                <w:highlight w:val="none"/>
              </w:rPr>
              <w:t>备注</w:t>
            </w:r>
          </w:p>
        </w:tc>
        <w:tc>
          <w:tcPr>
            <w:tcW w:w="6667" w:type="dxa"/>
            <w:tcBorders>
              <w:top w:val="nil"/>
            </w:tcBorders>
            <w:noWrap w:val="0"/>
            <w:vAlign w:val="center"/>
          </w:tcPr>
          <w:p w14:paraId="69938989">
            <w:pPr>
              <w:spacing w:line="360" w:lineRule="auto"/>
              <w:jc w:val="left"/>
              <w:rPr>
                <w:rFonts w:hint="eastAsia" w:ascii="宋体" w:hAnsi="宋体"/>
                <w:bCs/>
                <w:color w:val="auto"/>
                <w:sz w:val="24"/>
                <w:szCs w:val="24"/>
                <w:highlight w:val="none"/>
              </w:rPr>
            </w:pPr>
          </w:p>
        </w:tc>
      </w:tr>
    </w:tbl>
    <w:p w14:paraId="39B74557">
      <w:pPr>
        <w:adjustRightInd w:val="0"/>
        <w:snapToGrid w:val="0"/>
        <w:spacing w:line="320" w:lineRule="auto"/>
        <w:rPr>
          <w:rFonts w:hint="eastAsia" w:ascii="宋体" w:hAnsi="宋体" w:cs="宋体"/>
          <w:color w:val="auto"/>
          <w:szCs w:val="21"/>
          <w:highlight w:val="none"/>
        </w:rPr>
      </w:pPr>
    </w:p>
    <w:p w14:paraId="7C2EBD96">
      <w:pPr>
        <w:pStyle w:val="28"/>
        <w:adjustRightInd w:val="0"/>
        <w:snapToGrid w:val="0"/>
        <w:spacing w:line="320" w:lineRule="auto"/>
        <w:rPr>
          <w:rFonts w:hint="eastAsia" w:ascii="宋体" w:hAnsi="宋体" w:eastAsia="宋体" w:cs="宋体"/>
          <w:b w:val="0"/>
          <w:color w:val="auto"/>
          <w:sz w:val="21"/>
          <w:szCs w:val="21"/>
          <w:highlight w:val="none"/>
        </w:rPr>
      </w:pPr>
    </w:p>
    <w:p w14:paraId="1C268C37">
      <w:pPr>
        <w:pStyle w:val="28"/>
        <w:adjustRightInd w:val="0"/>
        <w:snapToGrid w:val="0"/>
        <w:spacing w:line="320" w:lineRule="auto"/>
        <w:rPr>
          <w:rFonts w:hint="eastAsia" w:ascii="宋体" w:hAnsi="宋体" w:eastAsia="宋体" w:cs="宋体"/>
          <w:b w:val="0"/>
          <w:color w:val="auto"/>
          <w:sz w:val="21"/>
          <w:szCs w:val="21"/>
          <w:highlight w:val="none"/>
          <w:u w:val="single"/>
        </w:rPr>
      </w:pPr>
      <w:r>
        <w:rPr>
          <w:rFonts w:hint="eastAsia" w:ascii="宋体" w:hAnsi="宋体" w:eastAsia="宋体" w:cs="宋体"/>
          <w:b w:val="0"/>
          <w:color w:val="auto"/>
          <w:sz w:val="21"/>
          <w:szCs w:val="21"/>
          <w:highlight w:val="none"/>
        </w:rPr>
        <w:t>供应商公章或授权代表签字：</w:t>
      </w:r>
    </w:p>
    <w:p w14:paraId="19D7860E">
      <w:pPr>
        <w:spacing w:line="440" w:lineRule="exact"/>
        <w:rPr>
          <w:rFonts w:hint="eastAsia" w:ascii="宋体" w:hAnsi="宋体" w:cs="宋体"/>
          <w:color w:val="auto"/>
          <w:szCs w:val="21"/>
          <w:highlight w:val="none"/>
        </w:rPr>
      </w:pPr>
    </w:p>
    <w:p w14:paraId="13CEF86B">
      <w:pPr>
        <w:widowControl/>
        <w:adjustRightInd w:val="0"/>
        <w:snapToGrid w:val="0"/>
        <w:spacing w:line="320" w:lineRule="auto"/>
        <w:jc w:val="left"/>
        <w:rPr>
          <w:rFonts w:hint="eastAsia" w:ascii="宋体" w:hAnsi="宋体" w:cs="宋体"/>
          <w:color w:val="auto"/>
          <w:szCs w:val="21"/>
          <w:highlight w:val="none"/>
        </w:rPr>
      </w:pPr>
      <w:r>
        <w:rPr>
          <w:rFonts w:hint="eastAsia" w:ascii="宋体" w:hAnsi="宋体" w:cs="宋体"/>
          <w:color w:val="auto"/>
          <w:szCs w:val="21"/>
          <w:highlight w:val="none"/>
        </w:rPr>
        <w:t>备注：</w:t>
      </w:r>
    </w:p>
    <w:p w14:paraId="2A110AE4">
      <w:pPr>
        <w:widowControl/>
        <w:adjustRightInd w:val="0"/>
        <w:snapToGrid w:val="0"/>
        <w:spacing w:line="320" w:lineRule="auto"/>
        <w:ind w:firstLine="315" w:firstLineChars="150"/>
        <w:jc w:val="left"/>
        <w:rPr>
          <w:rFonts w:hint="eastAsia" w:ascii="宋体" w:hAnsi="宋体" w:eastAsia="宋体" w:cs="宋体"/>
          <w:b w:val="0"/>
          <w:bCs/>
          <w:color w:val="auto"/>
          <w:sz w:val="21"/>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zh-CN"/>
        </w:rPr>
        <w:t>磋商报价为供应商在竞争性磋商文件中提出的各项支付金额的总和。包括本次磋商全部内容及人员工资、材料费、工具费、税费等所发生的所有费用</w:t>
      </w:r>
      <w:r>
        <w:rPr>
          <w:rFonts w:hint="eastAsia" w:ascii="宋体" w:hAnsi="宋体" w:cs="宋体"/>
          <w:color w:val="auto"/>
          <w:szCs w:val="21"/>
          <w:highlight w:val="none"/>
        </w:rPr>
        <w:t>等。</w:t>
      </w:r>
    </w:p>
    <w:p w14:paraId="4D18B39D">
      <w:pPr>
        <w:widowControl/>
        <w:adjustRightInd w:val="0"/>
        <w:snapToGrid w:val="0"/>
        <w:spacing w:line="320" w:lineRule="auto"/>
        <w:ind w:firstLine="315" w:firstLineChars="1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2、本《最终磋商报价书》中如存在大写金额与小写金额不一致的，供应商须以大写金额为准进行修正；总价金额与依据单价计算出的结果不一致的，须以单价金额为准进行修正，除单价金额小数点有明显错误。</w:t>
      </w:r>
    </w:p>
    <w:p w14:paraId="7F23875E">
      <w:pPr>
        <w:widowControl/>
        <w:adjustRightInd w:val="0"/>
        <w:snapToGrid w:val="0"/>
        <w:spacing w:line="320" w:lineRule="auto"/>
        <w:ind w:firstLine="315" w:firstLineChars="150"/>
        <w:jc w:val="lef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3、最终成交单价价格将按照成交人最终报价的金额按照报价下浮比例同比计算清单单价。</w:t>
      </w:r>
    </w:p>
    <w:p w14:paraId="58894853">
      <w:pPr>
        <w:jc w:val="center"/>
        <w:outlineLvl w:val="9"/>
        <w:rPr>
          <w:rFonts w:hint="eastAsia" w:ascii="宋体" w:hAnsi="宋体" w:cs="宋体"/>
          <w:bCs/>
          <w:sz w:val="24"/>
          <w:szCs w:val="24"/>
          <w:highlight w:val="none"/>
          <w:lang w:eastAsia="zh-CN"/>
        </w:rPr>
      </w:pPr>
    </w:p>
    <w:sectPr>
      <w:footerReference r:id="rId6" w:type="default"/>
      <w:pgSz w:w="11906" w:h="16838"/>
      <w:pgMar w:top="1440" w:right="1531" w:bottom="1440" w:left="1531"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DotumChe">
    <w:altName w:val="Malgun Gothic"/>
    <w:panose1 w:val="020B0609000101010101"/>
    <w:charset w:val="81"/>
    <w:family w:val="modern"/>
    <w:pitch w:val="default"/>
    <w:sig w:usb0="00000000" w:usb1="00000000" w:usb2="00000030" w:usb3="00000000" w:csb0="4008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15D83">
    <w:pPr>
      <w:pStyle w:val="20"/>
      <w:framePr w:wrap="around" w:vAnchor="text" w:hAnchor="margin" w:xAlign="center" w:y="1"/>
      <w:rPr>
        <w:rStyle w:val="38"/>
      </w:rPr>
    </w:pPr>
    <w:r>
      <w:rPr>
        <w:rStyle w:val="38"/>
      </w:rPr>
      <w:fldChar w:fldCharType="begin"/>
    </w:r>
    <w:r>
      <w:rPr>
        <w:rStyle w:val="38"/>
      </w:rPr>
      <w:instrText xml:space="preserve">PAGE  </w:instrText>
    </w:r>
    <w:r>
      <w:rPr>
        <w:rStyle w:val="38"/>
      </w:rPr>
      <w:fldChar w:fldCharType="end"/>
    </w:r>
  </w:p>
  <w:p w14:paraId="03F36169">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0F878">
    <w:pPr>
      <w:pStyle w:val="2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4F4353">
                          <w:pPr>
                            <w:pStyle w:val="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54F4353">
                    <w:pPr>
                      <w:pStyle w:val="20"/>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43626">
    <w:pPr>
      <w:pStyle w:val="21"/>
      <w:keepNext w:val="0"/>
      <w:keepLines w:val="0"/>
      <w:pageBreakBefore w:val="0"/>
      <w:widowControl w:val="0"/>
      <w:pBdr>
        <w:bottom w:val="single" w:color="auto" w:sz="6" w:space="0"/>
      </w:pBdr>
      <w:tabs>
        <w:tab w:val="left" w:pos="8460"/>
        <w:tab w:val="left" w:pos="9180"/>
        <w:tab w:val="clear" w:pos="4153"/>
        <w:tab w:val="clear" w:pos="8306"/>
      </w:tabs>
      <w:kinsoku/>
      <w:wordWrap/>
      <w:overflowPunct/>
      <w:topLinePunct w:val="0"/>
      <w:bidi w:val="0"/>
      <w:adjustRightInd/>
      <w:snapToGrid w:val="0"/>
      <w:ind w:right="0"/>
      <w:textAlignment w:val="auto"/>
    </w:pPr>
    <w:r>
      <w:rPr>
        <w:rFonts w:hint="eastAsia"/>
      </w:rPr>
      <w:t>霍山县城关小学食堂劳务派遣项目</w:t>
    </w:r>
    <w:r>
      <w:rPr>
        <w:rFonts w:hint="eastAsia"/>
        <w:lang w:val="en-US" w:eastAsia="zh-CN"/>
      </w:rPr>
      <w:t xml:space="preserve">                                                      </w:t>
    </w:r>
    <w:r>
      <w:rPr>
        <w:rFonts w:hint="eastAsia"/>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2AA05">
    <w:pPr>
      <w:pStyle w:val="21"/>
      <w:framePr w:wrap="around" w:vAnchor="text" w:hAnchor="margin" w:xAlign="right" w:y="1"/>
      <w:rPr>
        <w:rStyle w:val="38"/>
      </w:rPr>
    </w:pPr>
    <w:r>
      <w:rPr>
        <w:rStyle w:val="38"/>
      </w:rPr>
      <w:fldChar w:fldCharType="begin"/>
    </w:r>
    <w:r>
      <w:rPr>
        <w:rStyle w:val="38"/>
      </w:rPr>
      <w:instrText xml:space="preserve">PAGE  </w:instrText>
    </w:r>
    <w:r>
      <w:rPr>
        <w:rStyle w:val="38"/>
      </w:rPr>
      <w:fldChar w:fldCharType="end"/>
    </w:r>
  </w:p>
  <w:p w14:paraId="5EAAB759">
    <w:pPr>
      <w:pStyle w:val="21"/>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5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s>
  <w:rsids>
    <w:rsidRoot w:val="002D677B"/>
    <w:rsid w:val="000120AC"/>
    <w:rsid w:val="000145D1"/>
    <w:rsid w:val="00015C71"/>
    <w:rsid w:val="000271A7"/>
    <w:rsid w:val="00042454"/>
    <w:rsid w:val="00053B80"/>
    <w:rsid w:val="00053F56"/>
    <w:rsid w:val="00057B34"/>
    <w:rsid w:val="0006429A"/>
    <w:rsid w:val="00066BCF"/>
    <w:rsid w:val="0007068B"/>
    <w:rsid w:val="0007438F"/>
    <w:rsid w:val="00083A3D"/>
    <w:rsid w:val="00085013"/>
    <w:rsid w:val="0008734A"/>
    <w:rsid w:val="00091912"/>
    <w:rsid w:val="00092365"/>
    <w:rsid w:val="00095459"/>
    <w:rsid w:val="000A18AA"/>
    <w:rsid w:val="000A3D75"/>
    <w:rsid w:val="000D72BD"/>
    <w:rsid w:val="000E215B"/>
    <w:rsid w:val="000E29A9"/>
    <w:rsid w:val="000F6DD6"/>
    <w:rsid w:val="0010048A"/>
    <w:rsid w:val="00102BDC"/>
    <w:rsid w:val="00111AA2"/>
    <w:rsid w:val="00117F05"/>
    <w:rsid w:val="001252D5"/>
    <w:rsid w:val="001260B2"/>
    <w:rsid w:val="00135355"/>
    <w:rsid w:val="00146D70"/>
    <w:rsid w:val="00156254"/>
    <w:rsid w:val="001723C8"/>
    <w:rsid w:val="001903C6"/>
    <w:rsid w:val="001A3254"/>
    <w:rsid w:val="001B57E1"/>
    <w:rsid w:val="001C47BA"/>
    <w:rsid w:val="001C6B89"/>
    <w:rsid w:val="00206019"/>
    <w:rsid w:val="0021447E"/>
    <w:rsid w:val="002175D2"/>
    <w:rsid w:val="00222133"/>
    <w:rsid w:val="00230806"/>
    <w:rsid w:val="00230AFD"/>
    <w:rsid w:val="00232B23"/>
    <w:rsid w:val="00237B8A"/>
    <w:rsid w:val="0024002C"/>
    <w:rsid w:val="0025494F"/>
    <w:rsid w:val="002656AE"/>
    <w:rsid w:val="00281CBF"/>
    <w:rsid w:val="002908AE"/>
    <w:rsid w:val="00295D2C"/>
    <w:rsid w:val="002A2A22"/>
    <w:rsid w:val="002A5B98"/>
    <w:rsid w:val="002C3E11"/>
    <w:rsid w:val="002D508E"/>
    <w:rsid w:val="002D53B9"/>
    <w:rsid w:val="002D677B"/>
    <w:rsid w:val="002E54B3"/>
    <w:rsid w:val="002F5374"/>
    <w:rsid w:val="002F5CAB"/>
    <w:rsid w:val="00314F50"/>
    <w:rsid w:val="003342EF"/>
    <w:rsid w:val="00337DCA"/>
    <w:rsid w:val="00341CB0"/>
    <w:rsid w:val="003452C5"/>
    <w:rsid w:val="00350E5F"/>
    <w:rsid w:val="00370F26"/>
    <w:rsid w:val="003808D6"/>
    <w:rsid w:val="00385D3E"/>
    <w:rsid w:val="003A03AB"/>
    <w:rsid w:val="003E0B3C"/>
    <w:rsid w:val="003E7C3B"/>
    <w:rsid w:val="00410AD8"/>
    <w:rsid w:val="00413100"/>
    <w:rsid w:val="00424DA5"/>
    <w:rsid w:val="00425C52"/>
    <w:rsid w:val="004413B4"/>
    <w:rsid w:val="00453F7D"/>
    <w:rsid w:val="00480966"/>
    <w:rsid w:val="004A2AC5"/>
    <w:rsid w:val="004A45A4"/>
    <w:rsid w:val="004C64FF"/>
    <w:rsid w:val="004D5F5D"/>
    <w:rsid w:val="004F279A"/>
    <w:rsid w:val="0050472D"/>
    <w:rsid w:val="005236AE"/>
    <w:rsid w:val="00524A87"/>
    <w:rsid w:val="00533AAE"/>
    <w:rsid w:val="00554CE3"/>
    <w:rsid w:val="005710D8"/>
    <w:rsid w:val="005A03E4"/>
    <w:rsid w:val="005B04B8"/>
    <w:rsid w:val="005E38A4"/>
    <w:rsid w:val="005E56CC"/>
    <w:rsid w:val="005E754A"/>
    <w:rsid w:val="00654D2C"/>
    <w:rsid w:val="00661562"/>
    <w:rsid w:val="00682117"/>
    <w:rsid w:val="0068795B"/>
    <w:rsid w:val="00695280"/>
    <w:rsid w:val="006B21E7"/>
    <w:rsid w:val="006D3DB9"/>
    <w:rsid w:val="006F01D1"/>
    <w:rsid w:val="006F3D3E"/>
    <w:rsid w:val="006F49EE"/>
    <w:rsid w:val="00703A7D"/>
    <w:rsid w:val="007045A4"/>
    <w:rsid w:val="00715AE4"/>
    <w:rsid w:val="0073207C"/>
    <w:rsid w:val="007550DC"/>
    <w:rsid w:val="00766A44"/>
    <w:rsid w:val="00767BB2"/>
    <w:rsid w:val="00777046"/>
    <w:rsid w:val="00784363"/>
    <w:rsid w:val="0078488E"/>
    <w:rsid w:val="00790BD6"/>
    <w:rsid w:val="0079235B"/>
    <w:rsid w:val="007A4EEE"/>
    <w:rsid w:val="007B00FB"/>
    <w:rsid w:val="007E5141"/>
    <w:rsid w:val="007F2C26"/>
    <w:rsid w:val="007F3323"/>
    <w:rsid w:val="007F72E0"/>
    <w:rsid w:val="00802679"/>
    <w:rsid w:val="00810784"/>
    <w:rsid w:val="00821EE8"/>
    <w:rsid w:val="008448CD"/>
    <w:rsid w:val="0086536B"/>
    <w:rsid w:val="0089296C"/>
    <w:rsid w:val="008A6D3D"/>
    <w:rsid w:val="008B0E3B"/>
    <w:rsid w:val="008C0ED2"/>
    <w:rsid w:val="008D216E"/>
    <w:rsid w:val="008D283D"/>
    <w:rsid w:val="008E0D41"/>
    <w:rsid w:val="00922A63"/>
    <w:rsid w:val="00925990"/>
    <w:rsid w:val="00940C0D"/>
    <w:rsid w:val="00942328"/>
    <w:rsid w:val="0094320A"/>
    <w:rsid w:val="009628D2"/>
    <w:rsid w:val="00964C0F"/>
    <w:rsid w:val="0097577C"/>
    <w:rsid w:val="00980525"/>
    <w:rsid w:val="009B5EF1"/>
    <w:rsid w:val="009D0332"/>
    <w:rsid w:val="00A051CF"/>
    <w:rsid w:val="00A12E92"/>
    <w:rsid w:val="00A14F6A"/>
    <w:rsid w:val="00A17EB8"/>
    <w:rsid w:val="00A2462A"/>
    <w:rsid w:val="00A27C2C"/>
    <w:rsid w:val="00A301BA"/>
    <w:rsid w:val="00A3443C"/>
    <w:rsid w:val="00A5114C"/>
    <w:rsid w:val="00A52EA8"/>
    <w:rsid w:val="00A612D2"/>
    <w:rsid w:val="00A7302C"/>
    <w:rsid w:val="00A74097"/>
    <w:rsid w:val="00A74C0B"/>
    <w:rsid w:val="00A85BA0"/>
    <w:rsid w:val="00A95755"/>
    <w:rsid w:val="00A957C6"/>
    <w:rsid w:val="00A966A5"/>
    <w:rsid w:val="00AA5057"/>
    <w:rsid w:val="00AB51D7"/>
    <w:rsid w:val="00AC4741"/>
    <w:rsid w:val="00AD100F"/>
    <w:rsid w:val="00B00630"/>
    <w:rsid w:val="00B21075"/>
    <w:rsid w:val="00B27CFD"/>
    <w:rsid w:val="00B4726F"/>
    <w:rsid w:val="00B57818"/>
    <w:rsid w:val="00B578EB"/>
    <w:rsid w:val="00B7616C"/>
    <w:rsid w:val="00B80346"/>
    <w:rsid w:val="00BA10A8"/>
    <w:rsid w:val="00BA136D"/>
    <w:rsid w:val="00BA3764"/>
    <w:rsid w:val="00BB63DF"/>
    <w:rsid w:val="00BB7605"/>
    <w:rsid w:val="00BC2739"/>
    <w:rsid w:val="00BC5045"/>
    <w:rsid w:val="00C0313E"/>
    <w:rsid w:val="00C35B5F"/>
    <w:rsid w:val="00C4377A"/>
    <w:rsid w:val="00C5087F"/>
    <w:rsid w:val="00C56F48"/>
    <w:rsid w:val="00C6343E"/>
    <w:rsid w:val="00C71EC0"/>
    <w:rsid w:val="00C72D9C"/>
    <w:rsid w:val="00C734AB"/>
    <w:rsid w:val="00C84AAC"/>
    <w:rsid w:val="00C97CD9"/>
    <w:rsid w:val="00CA32AE"/>
    <w:rsid w:val="00CA60CE"/>
    <w:rsid w:val="00CB2CE0"/>
    <w:rsid w:val="00CE1386"/>
    <w:rsid w:val="00CE28E9"/>
    <w:rsid w:val="00CE3BB4"/>
    <w:rsid w:val="00CF10C1"/>
    <w:rsid w:val="00CF3743"/>
    <w:rsid w:val="00D027C9"/>
    <w:rsid w:val="00D13AEE"/>
    <w:rsid w:val="00D16453"/>
    <w:rsid w:val="00D175FB"/>
    <w:rsid w:val="00D2401D"/>
    <w:rsid w:val="00D33ECF"/>
    <w:rsid w:val="00D429C1"/>
    <w:rsid w:val="00D6083A"/>
    <w:rsid w:val="00DA1E4E"/>
    <w:rsid w:val="00DA2C77"/>
    <w:rsid w:val="00DA578E"/>
    <w:rsid w:val="00DC1314"/>
    <w:rsid w:val="00DC653F"/>
    <w:rsid w:val="00DD1C69"/>
    <w:rsid w:val="00DD2C6C"/>
    <w:rsid w:val="00DE18CD"/>
    <w:rsid w:val="00DF7DF4"/>
    <w:rsid w:val="00E119E3"/>
    <w:rsid w:val="00E15875"/>
    <w:rsid w:val="00E20914"/>
    <w:rsid w:val="00E231B2"/>
    <w:rsid w:val="00E55D55"/>
    <w:rsid w:val="00E617E1"/>
    <w:rsid w:val="00E848B5"/>
    <w:rsid w:val="00E912B4"/>
    <w:rsid w:val="00EA3497"/>
    <w:rsid w:val="00EB3BD8"/>
    <w:rsid w:val="00EE11E5"/>
    <w:rsid w:val="00EE4358"/>
    <w:rsid w:val="00EE5630"/>
    <w:rsid w:val="00EF2195"/>
    <w:rsid w:val="00EF3C5F"/>
    <w:rsid w:val="00F05A49"/>
    <w:rsid w:val="00F1594F"/>
    <w:rsid w:val="00F22829"/>
    <w:rsid w:val="00F31F25"/>
    <w:rsid w:val="00F40445"/>
    <w:rsid w:val="00F43B03"/>
    <w:rsid w:val="00F464A7"/>
    <w:rsid w:val="00F564DA"/>
    <w:rsid w:val="00F64830"/>
    <w:rsid w:val="00F74BC0"/>
    <w:rsid w:val="00F76D41"/>
    <w:rsid w:val="00F91C4B"/>
    <w:rsid w:val="00F927C2"/>
    <w:rsid w:val="00FA1EEE"/>
    <w:rsid w:val="00FA35DA"/>
    <w:rsid w:val="00FB29F0"/>
    <w:rsid w:val="00FC1D08"/>
    <w:rsid w:val="00FC79F6"/>
    <w:rsid w:val="00FF1C7C"/>
    <w:rsid w:val="017E1B19"/>
    <w:rsid w:val="01ED3B47"/>
    <w:rsid w:val="03062E20"/>
    <w:rsid w:val="03B22505"/>
    <w:rsid w:val="04067181"/>
    <w:rsid w:val="04103CCA"/>
    <w:rsid w:val="04BB0286"/>
    <w:rsid w:val="04EE7346"/>
    <w:rsid w:val="05033C99"/>
    <w:rsid w:val="05045387"/>
    <w:rsid w:val="05104E6D"/>
    <w:rsid w:val="05ED76CD"/>
    <w:rsid w:val="06262FF6"/>
    <w:rsid w:val="06496ED9"/>
    <w:rsid w:val="07267565"/>
    <w:rsid w:val="078C18B4"/>
    <w:rsid w:val="07A20F5E"/>
    <w:rsid w:val="080B49C0"/>
    <w:rsid w:val="08531B86"/>
    <w:rsid w:val="0861256E"/>
    <w:rsid w:val="09013345"/>
    <w:rsid w:val="095F7F4C"/>
    <w:rsid w:val="09A60123"/>
    <w:rsid w:val="09AE75F4"/>
    <w:rsid w:val="09B95F2A"/>
    <w:rsid w:val="0A0C7574"/>
    <w:rsid w:val="0A424E4D"/>
    <w:rsid w:val="0A802BBE"/>
    <w:rsid w:val="0AF82AC1"/>
    <w:rsid w:val="0B56662F"/>
    <w:rsid w:val="0B66533A"/>
    <w:rsid w:val="0B84414D"/>
    <w:rsid w:val="0BD46BAD"/>
    <w:rsid w:val="0BE120B2"/>
    <w:rsid w:val="0CEC43CA"/>
    <w:rsid w:val="0D50431A"/>
    <w:rsid w:val="0DF624E0"/>
    <w:rsid w:val="0E1024C2"/>
    <w:rsid w:val="0E346850"/>
    <w:rsid w:val="0E404088"/>
    <w:rsid w:val="0EA113FA"/>
    <w:rsid w:val="0ECA11CC"/>
    <w:rsid w:val="0F390E8E"/>
    <w:rsid w:val="0F8F57EF"/>
    <w:rsid w:val="0FC465FA"/>
    <w:rsid w:val="0FF97625"/>
    <w:rsid w:val="1018304A"/>
    <w:rsid w:val="10A03CC1"/>
    <w:rsid w:val="110475FD"/>
    <w:rsid w:val="119066D9"/>
    <w:rsid w:val="11A335B5"/>
    <w:rsid w:val="1219428E"/>
    <w:rsid w:val="13490C7D"/>
    <w:rsid w:val="135C3D02"/>
    <w:rsid w:val="13D52CCE"/>
    <w:rsid w:val="14E27C21"/>
    <w:rsid w:val="153B2049"/>
    <w:rsid w:val="15614DA8"/>
    <w:rsid w:val="15AD79BC"/>
    <w:rsid w:val="16066864"/>
    <w:rsid w:val="16991EF7"/>
    <w:rsid w:val="17162FF6"/>
    <w:rsid w:val="173850A7"/>
    <w:rsid w:val="174C0AC9"/>
    <w:rsid w:val="175A753C"/>
    <w:rsid w:val="177B4CDC"/>
    <w:rsid w:val="17BA7FA6"/>
    <w:rsid w:val="18FD74C3"/>
    <w:rsid w:val="192B2CC7"/>
    <w:rsid w:val="198B1495"/>
    <w:rsid w:val="199B3A21"/>
    <w:rsid w:val="19F570DC"/>
    <w:rsid w:val="1A6C248D"/>
    <w:rsid w:val="1AF45622"/>
    <w:rsid w:val="1B5A7D5C"/>
    <w:rsid w:val="1B724496"/>
    <w:rsid w:val="1B7B26E1"/>
    <w:rsid w:val="1BBFA30C"/>
    <w:rsid w:val="1C1A0C17"/>
    <w:rsid w:val="1C32741A"/>
    <w:rsid w:val="1C405AE5"/>
    <w:rsid w:val="1D452AE5"/>
    <w:rsid w:val="1D960483"/>
    <w:rsid w:val="1DF15284"/>
    <w:rsid w:val="1EA20A33"/>
    <w:rsid w:val="1F171CFB"/>
    <w:rsid w:val="1F3C13B6"/>
    <w:rsid w:val="1F4B49D6"/>
    <w:rsid w:val="1FF85069"/>
    <w:rsid w:val="20F41885"/>
    <w:rsid w:val="212611D2"/>
    <w:rsid w:val="21993B18"/>
    <w:rsid w:val="219959F5"/>
    <w:rsid w:val="22464B8D"/>
    <w:rsid w:val="229A201B"/>
    <w:rsid w:val="233F1DB4"/>
    <w:rsid w:val="239974D6"/>
    <w:rsid w:val="23E266D0"/>
    <w:rsid w:val="23E4618A"/>
    <w:rsid w:val="244E3D8C"/>
    <w:rsid w:val="24B335CE"/>
    <w:rsid w:val="24F11BE1"/>
    <w:rsid w:val="25CD354A"/>
    <w:rsid w:val="25EF0E4B"/>
    <w:rsid w:val="26577532"/>
    <w:rsid w:val="269169B4"/>
    <w:rsid w:val="269C26E3"/>
    <w:rsid w:val="27110C4C"/>
    <w:rsid w:val="272E2D63"/>
    <w:rsid w:val="27410CB9"/>
    <w:rsid w:val="276D441A"/>
    <w:rsid w:val="27B568DB"/>
    <w:rsid w:val="2861396F"/>
    <w:rsid w:val="28B44010"/>
    <w:rsid w:val="29384EA8"/>
    <w:rsid w:val="29CC520E"/>
    <w:rsid w:val="29E26463"/>
    <w:rsid w:val="2A023B5C"/>
    <w:rsid w:val="2A07065D"/>
    <w:rsid w:val="2A0A08C3"/>
    <w:rsid w:val="2A534564"/>
    <w:rsid w:val="2A573A70"/>
    <w:rsid w:val="2B373B1E"/>
    <w:rsid w:val="2CBD48CE"/>
    <w:rsid w:val="2CC64E8F"/>
    <w:rsid w:val="2CE211B2"/>
    <w:rsid w:val="2E015B36"/>
    <w:rsid w:val="2E275F81"/>
    <w:rsid w:val="2E4E51C2"/>
    <w:rsid w:val="2E77681E"/>
    <w:rsid w:val="2F4B2B19"/>
    <w:rsid w:val="2F6246CC"/>
    <w:rsid w:val="2FC53683"/>
    <w:rsid w:val="2FE97A5F"/>
    <w:rsid w:val="305A47DE"/>
    <w:rsid w:val="309E348C"/>
    <w:rsid w:val="312D70A2"/>
    <w:rsid w:val="31394322"/>
    <w:rsid w:val="315C0774"/>
    <w:rsid w:val="3184082E"/>
    <w:rsid w:val="321928B8"/>
    <w:rsid w:val="32617B06"/>
    <w:rsid w:val="328304A8"/>
    <w:rsid w:val="32BC5F4D"/>
    <w:rsid w:val="33393656"/>
    <w:rsid w:val="337C1CD3"/>
    <w:rsid w:val="33C11B6F"/>
    <w:rsid w:val="33FE364D"/>
    <w:rsid w:val="3429115A"/>
    <w:rsid w:val="34325CD9"/>
    <w:rsid w:val="346113B3"/>
    <w:rsid w:val="34F2580B"/>
    <w:rsid w:val="36024564"/>
    <w:rsid w:val="36276335"/>
    <w:rsid w:val="36525F3B"/>
    <w:rsid w:val="36813D28"/>
    <w:rsid w:val="36981B5D"/>
    <w:rsid w:val="36A9634B"/>
    <w:rsid w:val="36D079C8"/>
    <w:rsid w:val="37D716E7"/>
    <w:rsid w:val="390A4CE0"/>
    <w:rsid w:val="39A552A4"/>
    <w:rsid w:val="39D761EF"/>
    <w:rsid w:val="3A76410D"/>
    <w:rsid w:val="3A8F3EBA"/>
    <w:rsid w:val="3AB10259"/>
    <w:rsid w:val="3ABA6222"/>
    <w:rsid w:val="3B301F44"/>
    <w:rsid w:val="3B705898"/>
    <w:rsid w:val="3BAE4829"/>
    <w:rsid w:val="3BD57D54"/>
    <w:rsid w:val="3BDF73C5"/>
    <w:rsid w:val="3D7C4A02"/>
    <w:rsid w:val="3D902D22"/>
    <w:rsid w:val="3DF4021A"/>
    <w:rsid w:val="3E047963"/>
    <w:rsid w:val="3E8E5BBA"/>
    <w:rsid w:val="3EB86069"/>
    <w:rsid w:val="3EDC10FF"/>
    <w:rsid w:val="3F0A5E23"/>
    <w:rsid w:val="3F785608"/>
    <w:rsid w:val="3FFF20F3"/>
    <w:rsid w:val="402734A4"/>
    <w:rsid w:val="405A4873"/>
    <w:rsid w:val="405C30EF"/>
    <w:rsid w:val="407B3EBF"/>
    <w:rsid w:val="40902F36"/>
    <w:rsid w:val="40DF693D"/>
    <w:rsid w:val="40F16A8E"/>
    <w:rsid w:val="412545BE"/>
    <w:rsid w:val="4184340D"/>
    <w:rsid w:val="41E21275"/>
    <w:rsid w:val="41F46909"/>
    <w:rsid w:val="42597CF0"/>
    <w:rsid w:val="42D67AEC"/>
    <w:rsid w:val="42F6152E"/>
    <w:rsid w:val="42FF6CFF"/>
    <w:rsid w:val="43771108"/>
    <w:rsid w:val="438C4E1A"/>
    <w:rsid w:val="43F7487C"/>
    <w:rsid w:val="4440126D"/>
    <w:rsid w:val="445F7604"/>
    <w:rsid w:val="446523D2"/>
    <w:rsid w:val="44DA0696"/>
    <w:rsid w:val="44E45943"/>
    <w:rsid w:val="44E80BF1"/>
    <w:rsid w:val="4583380E"/>
    <w:rsid w:val="45993146"/>
    <w:rsid w:val="45EB3538"/>
    <w:rsid w:val="46440499"/>
    <w:rsid w:val="46771AC0"/>
    <w:rsid w:val="47867C8A"/>
    <w:rsid w:val="47954A4A"/>
    <w:rsid w:val="479B001B"/>
    <w:rsid w:val="47D21CE6"/>
    <w:rsid w:val="47E5272B"/>
    <w:rsid w:val="481456B4"/>
    <w:rsid w:val="48876507"/>
    <w:rsid w:val="48A14890"/>
    <w:rsid w:val="4A4C0CEF"/>
    <w:rsid w:val="4A67403B"/>
    <w:rsid w:val="4A734E79"/>
    <w:rsid w:val="4AD27698"/>
    <w:rsid w:val="4B1B114F"/>
    <w:rsid w:val="4B250368"/>
    <w:rsid w:val="4B7A75FA"/>
    <w:rsid w:val="4B7B52E3"/>
    <w:rsid w:val="4B7F6C9B"/>
    <w:rsid w:val="4BB01238"/>
    <w:rsid w:val="4BBA3C84"/>
    <w:rsid w:val="4BF93ABC"/>
    <w:rsid w:val="4C2F1AF1"/>
    <w:rsid w:val="4C3F1A69"/>
    <w:rsid w:val="4C401A56"/>
    <w:rsid w:val="4C4C7D4D"/>
    <w:rsid w:val="4C692E82"/>
    <w:rsid w:val="4C974380"/>
    <w:rsid w:val="4CA7336B"/>
    <w:rsid w:val="4D001539"/>
    <w:rsid w:val="4D060FF1"/>
    <w:rsid w:val="4D5B5816"/>
    <w:rsid w:val="4D6138EC"/>
    <w:rsid w:val="4D714797"/>
    <w:rsid w:val="4D7809BA"/>
    <w:rsid w:val="4D820C8A"/>
    <w:rsid w:val="4D8E6FAE"/>
    <w:rsid w:val="4D9F0EEA"/>
    <w:rsid w:val="4F095D32"/>
    <w:rsid w:val="4F1A4882"/>
    <w:rsid w:val="4F3C4DEC"/>
    <w:rsid w:val="4F6D0EC1"/>
    <w:rsid w:val="504900D3"/>
    <w:rsid w:val="52892F5B"/>
    <w:rsid w:val="52F61709"/>
    <w:rsid w:val="54073585"/>
    <w:rsid w:val="54510D56"/>
    <w:rsid w:val="5495703C"/>
    <w:rsid w:val="54995B0C"/>
    <w:rsid w:val="54DB7C79"/>
    <w:rsid w:val="54E74E26"/>
    <w:rsid w:val="55580A4D"/>
    <w:rsid w:val="55B45B96"/>
    <w:rsid w:val="55C3622E"/>
    <w:rsid w:val="55DC1770"/>
    <w:rsid w:val="55EB22AC"/>
    <w:rsid w:val="561133F2"/>
    <w:rsid w:val="56571FFA"/>
    <w:rsid w:val="56A92CC7"/>
    <w:rsid w:val="57ED033C"/>
    <w:rsid w:val="58BD10F2"/>
    <w:rsid w:val="58CD33C2"/>
    <w:rsid w:val="596469D4"/>
    <w:rsid w:val="5A435D8A"/>
    <w:rsid w:val="5AA57E79"/>
    <w:rsid w:val="5B0CF2D3"/>
    <w:rsid w:val="5B7B30F8"/>
    <w:rsid w:val="5BBC1D09"/>
    <w:rsid w:val="5BEC2BF6"/>
    <w:rsid w:val="5C34380B"/>
    <w:rsid w:val="5CBB6877"/>
    <w:rsid w:val="5CFC6999"/>
    <w:rsid w:val="5E765BD7"/>
    <w:rsid w:val="5EEC63F2"/>
    <w:rsid w:val="5F912AC4"/>
    <w:rsid w:val="5FD14724"/>
    <w:rsid w:val="60387705"/>
    <w:rsid w:val="60700F30"/>
    <w:rsid w:val="607B7DDA"/>
    <w:rsid w:val="60E81B80"/>
    <w:rsid w:val="61A76748"/>
    <w:rsid w:val="61AE38ED"/>
    <w:rsid w:val="62B731FE"/>
    <w:rsid w:val="63023C80"/>
    <w:rsid w:val="631A6383"/>
    <w:rsid w:val="636D3AA1"/>
    <w:rsid w:val="639F3ED2"/>
    <w:rsid w:val="6418228D"/>
    <w:rsid w:val="64F22548"/>
    <w:rsid w:val="65216376"/>
    <w:rsid w:val="656062CA"/>
    <w:rsid w:val="659106E2"/>
    <w:rsid w:val="65AB236D"/>
    <w:rsid w:val="65B8080F"/>
    <w:rsid w:val="65E8208B"/>
    <w:rsid w:val="66353AAC"/>
    <w:rsid w:val="66483EC5"/>
    <w:rsid w:val="66704DB4"/>
    <w:rsid w:val="66FF3B3B"/>
    <w:rsid w:val="67102453"/>
    <w:rsid w:val="679648B3"/>
    <w:rsid w:val="68A67F29"/>
    <w:rsid w:val="68C15CCA"/>
    <w:rsid w:val="692D45F0"/>
    <w:rsid w:val="697D619C"/>
    <w:rsid w:val="69992F6F"/>
    <w:rsid w:val="69EE3D79"/>
    <w:rsid w:val="6A0E091D"/>
    <w:rsid w:val="6A5F2208"/>
    <w:rsid w:val="6ABA50AD"/>
    <w:rsid w:val="6B58725B"/>
    <w:rsid w:val="6BA94127"/>
    <w:rsid w:val="6BFE46EA"/>
    <w:rsid w:val="6C7F53F2"/>
    <w:rsid w:val="6C8B20CC"/>
    <w:rsid w:val="6C95A85E"/>
    <w:rsid w:val="6D176247"/>
    <w:rsid w:val="6E63120A"/>
    <w:rsid w:val="6F053873"/>
    <w:rsid w:val="6F1ECFF8"/>
    <w:rsid w:val="704217E5"/>
    <w:rsid w:val="71106C43"/>
    <w:rsid w:val="71152000"/>
    <w:rsid w:val="721756F7"/>
    <w:rsid w:val="7231680E"/>
    <w:rsid w:val="72896870"/>
    <w:rsid w:val="749A7E60"/>
    <w:rsid w:val="750872E0"/>
    <w:rsid w:val="75493BC8"/>
    <w:rsid w:val="7656661E"/>
    <w:rsid w:val="76ED37EF"/>
    <w:rsid w:val="770F21D1"/>
    <w:rsid w:val="77EF4493"/>
    <w:rsid w:val="78A7019A"/>
    <w:rsid w:val="78C06712"/>
    <w:rsid w:val="796B51A8"/>
    <w:rsid w:val="797B151F"/>
    <w:rsid w:val="797D526C"/>
    <w:rsid w:val="79BA3B0E"/>
    <w:rsid w:val="7ABB6962"/>
    <w:rsid w:val="7AF4539C"/>
    <w:rsid w:val="7C013D85"/>
    <w:rsid w:val="7C2F8C70"/>
    <w:rsid w:val="7C63164A"/>
    <w:rsid w:val="7C662C4B"/>
    <w:rsid w:val="7CF35D84"/>
    <w:rsid w:val="7DB40A20"/>
    <w:rsid w:val="7DDF36B2"/>
    <w:rsid w:val="7E136A50"/>
    <w:rsid w:val="7E49765A"/>
    <w:rsid w:val="7E4C0FEB"/>
    <w:rsid w:val="7EBB50F1"/>
    <w:rsid w:val="7EBE0C5A"/>
    <w:rsid w:val="7EE56270"/>
    <w:rsid w:val="7EFB3C47"/>
    <w:rsid w:val="7EFB49D6"/>
    <w:rsid w:val="7F7F569C"/>
    <w:rsid w:val="7F7F68A4"/>
    <w:rsid w:val="7F850ECB"/>
    <w:rsid w:val="7F9F1736"/>
    <w:rsid w:val="7FD31A01"/>
    <w:rsid w:val="7FFB101A"/>
    <w:rsid w:val="9BF96BAC"/>
    <w:rsid w:val="AD2DA3B9"/>
    <w:rsid w:val="AF6FE06F"/>
    <w:rsid w:val="D78F6FBA"/>
    <w:rsid w:val="DBDF55C4"/>
    <w:rsid w:val="DF3D59C8"/>
    <w:rsid w:val="EBFFC059"/>
    <w:rsid w:val="EEF1341C"/>
    <w:rsid w:val="F7B9D6FD"/>
    <w:rsid w:val="F7CC7425"/>
    <w:rsid w:val="FAEC74ED"/>
    <w:rsid w:val="FE93A17C"/>
    <w:rsid w:val="FEFF2685"/>
    <w:rsid w:val="FFD23C0D"/>
    <w:rsid w:val="FFEFE6BF"/>
    <w:rsid w:val="FFF59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uiPriority="99"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5"/>
    <w:qFormat/>
    <w:uiPriority w:val="0"/>
    <w:pPr>
      <w:keepNext/>
      <w:outlineLvl w:val="0"/>
    </w:pPr>
    <w:rPr>
      <w:sz w:val="28"/>
      <w:szCs w:val="24"/>
    </w:rPr>
  </w:style>
  <w:style w:type="paragraph" w:styleId="3">
    <w:name w:val="heading 2"/>
    <w:basedOn w:val="1"/>
    <w:next w:val="1"/>
    <w:link w:val="95"/>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7"/>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48"/>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2520" w:leftChars="1200"/>
    </w:pPr>
  </w:style>
  <w:style w:type="paragraph" w:styleId="7">
    <w:name w:val="Document Map"/>
    <w:basedOn w:val="1"/>
    <w:link w:val="72"/>
    <w:qFormat/>
    <w:uiPriority w:val="0"/>
    <w:pPr>
      <w:shd w:val="clear" w:color="auto" w:fill="000080"/>
    </w:pPr>
  </w:style>
  <w:style w:type="paragraph" w:styleId="8">
    <w:name w:val="annotation text"/>
    <w:basedOn w:val="1"/>
    <w:link w:val="66"/>
    <w:semiHidden/>
    <w:qFormat/>
    <w:uiPriority w:val="99"/>
    <w:pPr>
      <w:jc w:val="left"/>
    </w:pPr>
  </w:style>
  <w:style w:type="paragraph" w:styleId="9">
    <w:name w:val="Body Text 3"/>
    <w:basedOn w:val="1"/>
    <w:link w:val="87"/>
    <w:unhideWhenUsed/>
    <w:qFormat/>
    <w:uiPriority w:val="99"/>
    <w:pPr>
      <w:spacing w:after="120"/>
    </w:pPr>
    <w:rPr>
      <w:rFonts w:ascii="Calibri" w:hAnsi="Calibri"/>
      <w:sz w:val="16"/>
      <w:szCs w:val="16"/>
      <w:lang w:val="zh-CN"/>
    </w:rPr>
  </w:style>
  <w:style w:type="paragraph" w:styleId="10">
    <w:name w:val="Body Text"/>
    <w:basedOn w:val="1"/>
    <w:next w:val="1"/>
    <w:link w:val="61"/>
    <w:qFormat/>
    <w:uiPriority w:val="0"/>
    <w:pPr>
      <w:spacing w:after="120"/>
    </w:pPr>
    <w:rPr>
      <w:szCs w:val="24"/>
    </w:rPr>
  </w:style>
  <w:style w:type="paragraph" w:styleId="11">
    <w:name w:val="Body Text Indent"/>
    <w:basedOn w:val="1"/>
    <w:next w:val="12"/>
    <w:link w:val="50"/>
    <w:qFormat/>
    <w:uiPriority w:val="0"/>
    <w:pPr>
      <w:ind w:firstLine="540"/>
    </w:pPr>
    <w:rPr>
      <w:rFonts w:eastAsia="仿宋_GB2312"/>
      <w:sz w:val="28"/>
    </w:rPr>
  </w:style>
  <w:style w:type="paragraph" w:styleId="12">
    <w:name w:val="envelope return"/>
    <w:basedOn w:val="1"/>
    <w:qFormat/>
    <w:uiPriority w:val="0"/>
    <w:pPr>
      <w:snapToGrid w:val="0"/>
    </w:pPr>
    <w:rPr>
      <w:rFonts w:ascii="Arial" w:hAnsi="Arial"/>
    </w:rPr>
  </w:style>
  <w:style w:type="paragraph" w:styleId="13">
    <w:name w:val="toc 5"/>
    <w:basedOn w:val="1"/>
    <w:next w:val="1"/>
    <w:qFormat/>
    <w:uiPriority w:val="0"/>
    <w:pPr>
      <w:ind w:left="1680" w:leftChars="800"/>
    </w:pPr>
  </w:style>
  <w:style w:type="paragraph" w:styleId="14">
    <w:name w:val="toc 3"/>
    <w:basedOn w:val="1"/>
    <w:next w:val="1"/>
    <w:qFormat/>
    <w:uiPriority w:val="39"/>
    <w:pPr>
      <w:ind w:left="840" w:leftChars="400"/>
    </w:pPr>
  </w:style>
  <w:style w:type="paragraph" w:styleId="15">
    <w:name w:val="Plain Text"/>
    <w:basedOn w:val="1"/>
    <w:link w:val="69"/>
    <w:qFormat/>
    <w:uiPriority w:val="0"/>
    <w:rPr>
      <w:rFonts w:ascii="宋体" w:hAnsi="Courier New" w:cstheme="minorBidi"/>
      <w:szCs w:val="22"/>
    </w:rPr>
  </w:style>
  <w:style w:type="paragraph" w:styleId="16">
    <w:name w:val="toc 8"/>
    <w:basedOn w:val="1"/>
    <w:next w:val="1"/>
    <w:qFormat/>
    <w:uiPriority w:val="0"/>
    <w:pPr>
      <w:ind w:left="2940" w:leftChars="1400"/>
    </w:pPr>
  </w:style>
  <w:style w:type="paragraph" w:styleId="17">
    <w:name w:val="Date"/>
    <w:basedOn w:val="1"/>
    <w:next w:val="1"/>
    <w:link w:val="49"/>
    <w:qFormat/>
    <w:uiPriority w:val="0"/>
    <w:rPr>
      <w:rFonts w:ascii="Arial" w:hAnsi="Arial" w:eastAsia="楷体_GB2312"/>
      <w:sz w:val="28"/>
    </w:rPr>
  </w:style>
  <w:style w:type="paragraph" w:styleId="18">
    <w:name w:val="Body Text Indent 2"/>
    <w:basedOn w:val="1"/>
    <w:link w:val="52"/>
    <w:qFormat/>
    <w:uiPriority w:val="0"/>
    <w:pPr>
      <w:tabs>
        <w:tab w:val="left" w:pos="720"/>
      </w:tabs>
      <w:ind w:right="-506" w:rightChars="-241" w:firstLine="538" w:firstLineChars="192"/>
    </w:pPr>
    <w:rPr>
      <w:rFonts w:eastAsia="仿宋_GB2312"/>
      <w:sz w:val="28"/>
    </w:rPr>
  </w:style>
  <w:style w:type="paragraph" w:styleId="19">
    <w:name w:val="Balloon Text"/>
    <w:basedOn w:val="1"/>
    <w:link w:val="63"/>
    <w:qFormat/>
    <w:uiPriority w:val="0"/>
    <w:rPr>
      <w:sz w:val="18"/>
      <w:szCs w:val="18"/>
    </w:rPr>
  </w:style>
  <w:style w:type="paragraph" w:styleId="20">
    <w:name w:val="footer"/>
    <w:basedOn w:val="1"/>
    <w:link w:val="44"/>
    <w:unhideWhenUsed/>
    <w:qFormat/>
    <w:uiPriority w:val="99"/>
    <w:pPr>
      <w:tabs>
        <w:tab w:val="center" w:pos="4153"/>
        <w:tab w:val="right" w:pos="8306"/>
      </w:tabs>
      <w:snapToGrid w:val="0"/>
      <w:jc w:val="left"/>
    </w:pPr>
    <w:rPr>
      <w:sz w:val="18"/>
      <w:szCs w:val="18"/>
    </w:rPr>
  </w:style>
  <w:style w:type="paragraph" w:styleId="21">
    <w:name w:val="header"/>
    <w:basedOn w:val="1"/>
    <w:link w:val="43"/>
    <w:unhideWhenUsed/>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0"/>
  </w:style>
  <w:style w:type="paragraph" w:styleId="23">
    <w:name w:val="toc 4"/>
    <w:basedOn w:val="1"/>
    <w:next w:val="1"/>
    <w:qFormat/>
    <w:uiPriority w:val="0"/>
    <w:pPr>
      <w:ind w:left="1260" w:leftChars="600"/>
    </w:pPr>
  </w:style>
  <w:style w:type="paragraph" w:styleId="24">
    <w:name w:val="toc 6"/>
    <w:basedOn w:val="1"/>
    <w:next w:val="1"/>
    <w:qFormat/>
    <w:uiPriority w:val="0"/>
    <w:pPr>
      <w:ind w:left="2100" w:leftChars="1000"/>
    </w:pPr>
  </w:style>
  <w:style w:type="paragraph" w:styleId="25">
    <w:name w:val="Body Text Indent 3"/>
    <w:basedOn w:val="1"/>
    <w:link w:val="58"/>
    <w:qFormat/>
    <w:uiPriority w:val="0"/>
    <w:pPr>
      <w:ind w:left="178" w:leftChars="85" w:firstLine="560" w:firstLineChars="200"/>
    </w:pPr>
    <w:rPr>
      <w:rFonts w:ascii="仿宋_GB2312" w:hAnsi="Arial" w:eastAsia="仿宋_GB2312"/>
      <w:sz w:val="28"/>
      <w:szCs w:val="24"/>
    </w:rPr>
  </w:style>
  <w:style w:type="paragraph" w:styleId="26">
    <w:name w:val="toc 2"/>
    <w:basedOn w:val="1"/>
    <w:next w:val="1"/>
    <w:qFormat/>
    <w:uiPriority w:val="39"/>
    <w:pPr>
      <w:ind w:left="420" w:leftChars="200"/>
    </w:pPr>
  </w:style>
  <w:style w:type="paragraph" w:styleId="27">
    <w:name w:val="toc 9"/>
    <w:basedOn w:val="1"/>
    <w:next w:val="1"/>
    <w:qFormat/>
    <w:uiPriority w:val="0"/>
    <w:pPr>
      <w:ind w:left="3360" w:leftChars="1600"/>
    </w:pPr>
  </w:style>
  <w:style w:type="paragraph" w:styleId="28">
    <w:name w:val="Body Text 2"/>
    <w:basedOn w:val="1"/>
    <w:qFormat/>
    <w:uiPriority w:val="0"/>
    <w:rPr>
      <w:rFonts w:ascii="仿宋_GB2312" w:eastAsia="仿宋_GB2312"/>
      <w:b/>
      <w:sz w:val="24"/>
    </w:rPr>
  </w:style>
  <w:style w:type="paragraph" w:styleId="2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0">
    <w:name w:val="Normal (Web)"/>
    <w:basedOn w:val="1"/>
    <w:unhideWhenUsed/>
    <w:qFormat/>
    <w:uiPriority w:val="99"/>
    <w:pPr>
      <w:jc w:val="left"/>
    </w:pPr>
    <w:rPr>
      <w:kern w:val="0"/>
      <w:sz w:val="24"/>
    </w:rPr>
  </w:style>
  <w:style w:type="paragraph" w:styleId="31">
    <w:name w:val="index 1"/>
    <w:basedOn w:val="1"/>
    <w:next w:val="1"/>
    <w:semiHidden/>
    <w:qFormat/>
    <w:uiPriority w:val="0"/>
    <w:pPr>
      <w:jc w:val="center"/>
    </w:pPr>
    <w:rPr>
      <w:rFonts w:ascii="仿宋_GB2312" w:eastAsia="仿宋_GB2312"/>
      <w:b/>
      <w:bCs/>
      <w:sz w:val="28"/>
    </w:rPr>
  </w:style>
  <w:style w:type="paragraph" w:styleId="32">
    <w:name w:val="annotation subject"/>
    <w:basedOn w:val="8"/>
    <w:next w:val="8"/>
    <w:link w:val="67"/>
    <w:semiHidden/>
    <w:qFormat/>
    <w:uiPriority w:val="99"/>
    <w:rPr>
      <w:b/>
      <w:bCs/>
    </w:rPr>
  </w:style>
  <w:style w:type="paragraph" w:styleId="33">
    <w:name w:val="Body Text First Indent"/>
    <w:basedOn w:val="10"/>
    <w:unhideWhenUsed/>
    <w:qFormat/>
    <w:uiPriority w:val="99"/>
    <w:pPr>
      <w:spacing w:line="400" w:lineRule="atLeast"/>
      <w:ind w:firstLine="426"/>
    </w:pPr>
    <w:rPr>
      <w:sz w:val="24"/>
      <w:szCs w:val="20"/>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rPr>
  </w:style>
  <w:style w:type="character" w:styleId="38">
    <w:name w:val="page number"/>
    <w:basedOn w:val="36"/>
    <w:qFormat/>
    <w:uiPriority w:val="0"/>
  </w:style>
  <w:style w:type="character" w:styleId="39">
    <w:name w:val="FollowedHyperlink"/>
    <w:basedOn w:val="36"/>
    <w:unhideWhenUsed/>
    <w:qFormat/>
    <w:uiPriority w:val="99"/>
    <w:rPr>
      <w:color w:val="954F72" w:themeColor="followedHyperlink"/>
      <w:u w:val="single"/>
      <w14:textFill>
        <w14:solidFill>
          <w14:schemeClr w14:val="folHlink"/>
        </w14:solidFill>
      </w14:textFill>
    </w:rPr>
  </w:style>
  <w:style w:type="character" w:styleId="40">
    <w:name w:val="Hyperlink"/>
    <w:basedOn w:val="36"/>
    <w:qFormat/>
    <w:uiPriority w:val="99"/>
    <w:rPr>
      <w:color w:val="333333"/>
      <w:u w:val="none"/>
    </w:rPr>
  </w:style>
  <w:style w:type="character" w:styleId="41">
    <w:name w:val="annotation reference"/>
    <w:semiHidden/>
    <w:qFormat/>
    <w:uiPriority w:val="99"/>
    <w:rPr>
      <w:sz w:val="21"/>
      <w:szCs w:val="21"/>
    </w:rPr>
  </w:style>
  <w:style w:type="paragraph" w:customStyle="1" w:styleId="42">
    <w:name w:val="Default"/>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character" w:customStyle="1" w:styleId="43">
    <w:name w:val="页眉 Char"/>
    <w:basedOn w:val="36"/>
    <w:link w:val="21"/>
    <w:qFormat/>
    <w:uiPriority w:val="0"/>
    <w:rPr>
      <w:sz w:val="18"/>
      <w:szCs w:val="18"/>
    </w:rPr>
  </w:style>
  <w:style w:type="character" w:customStyle="1" w:styleId="44">
    <w:name w:val="页脚 Char"/>
    <w:basedOn w:val="36"/>
    <w:link w:val="20"/>
    <w:qFormat/>
    <w:uiPriority w:val="99"/>
    <w:rPr>
      <w:sz w:val="18"/>
      <w:szCs w:val="18"/>
    </w:rPr>
  </w:style>
  <w:style w:type="character" w:customStyle="1" w:styleId="45">
    <w:name w:val="标题 1 Char"/>
    <w:basedOn w:val="36"/>
    <w:link w:val="2"/>
    <w:qFormat/>
    <w:uiPriority w:val="0"/>
    <w:rPr>
      <w:rFonts w:ascii="Times New Roman" w:hAnsi="Times New Roman" w:eastAsia="宋体" w:cs="Times New Roman"/>
      <w:sz w:val="28"/>
      <w:szCs w:val="24"/>
    </w:rPr>
  </w:style>
  <w:style w:type="character" w:customStyle="1" w:styleId="46">
    <w:name w:val="标题 2 Char"/>
    <w:basedOn w:val="36"/>
    <w:qFormat/>
    <w:uiPriority w:val="0"/>
    <w:rPr>
      <w:rFonts w:ascii="Arial" w:hAnsi="Arial" w:eastAsia="黑体" w:cs="Times New Roman"/>
      <w:b/>
      <w:kern w:val="0"/>
      <w:sz w:val="32"/>
      <w:szCs w:val="20"/>
    </w:rPr>
  </w:style>
  <w:style w:type="character" w:customStyle="1" w:styleId="47">
    <w:name w:val="标题 3 Char"/>
    <w:basedOn w:val="36"/>
    <w:link w:val="4"/>
    <w:qFormat/>
    <w:uiPriority w:val="0"/>
    <w:rPr>
      <w:rFonts w:ascii="Times New Roman" w:hAnsi="Times New Roman" w:eastAsia="宋体" w:cs="Times New Roman"/>
      <w:b/>
      <w:bCs/>
      <w:sz w:val="32"/>
      <w:szCs w:val="32"/>
      <w:lang w:val="zh-CN" w:eastAsia="zh-CN"/>
    </w:rPr>
  </w:style>
  <w:style w:type="character" w:customStyle="1" w:styleId="48">
    <w:name w:val="标题 4 Char"/>
    <w:basedOn w:val="36"/>
    <w:link w:val="5"/>
    <w:qFormat/>
    <w:uiPriority w:val="0"/>
    <w:rPr>
      <w:rFonts w:ascii="Arial" w:hAnsi="Arial" w:eastAsia="黑体" w:cs="Times New Roman"/>
      <w:b/>
      <w:kern w:val="0"/>
      <w:sz w:val="28"/>
      <w:szCs w:val="20"/>
    </w:rPr>
  </w:style>
  <w:style w:type="character" w:customStyle="1" w:styleId="49">
    <w:name w:val="日期 Char"/>
    <w:basedOn w:val="36"/>
    <w:link w:val="17"/>
    <w:qFormat/>
    <w:uiPriority w:val="0"/>
    <w:rPr>
      <w:rFonts w:ascii="Arial" w:hAnsi="Arial" w:eastAsia="楷体_GB2312" w:cs="Times New Roman"/>
      <w:sz w:val="28"/>
      <w:szCs w:val="20"/>
    </w:rPr>
  </w:style>
  <w:style w:type="character" w:customStyle="1" w:styleId="50">
    <w:name w:val="正文文本缩进 Char"/>
    <w:basedOn w:val="36"/>
    <w:link w:val="11"/>
    <w:qFormat/>
    <w:uiPriority w:val="0"/>
    <w:rPr>
      <w:rFonts w:ascii="Times New Roman" w:hAnsi="Times New Roman" w:eastAsia="仿宋_GB2312" w:cs="Times New Roman"/>
      <w:sz w:val="28"/>
      <w:szCs w:val="20"/>
    </w:rPr>
  </w:style>
  <w:style w:type="paragraph" w:customStyle="1" w:styleId="51">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52">
    <w:name w:val="正文文本缩进 2 Char"/>
    <w:basedOn w:val="36"/>
    <w:link w:val="18"/>
    <w:qFormat/>
    <w:uiPriority w:val="0"/>
    <w:rPr>
      <w:rFonts w:ascii="Times New Roman" w:hAnsi="Times New Roman" w:eastAsia="仿宋_GB2312" w:cs="Times New Roman"/>
      <w:sz w:val="28"/>
      <w:szCs w:val="20"/>
    </w:rPr>
  </w:style>
  <w:style w:type="paragraph" w:customStyle="1" w:styleId="53">
    <w:name w:val="样式1"/>
    <w:basedOn w:val="1"/>
    <w:qFormat/>
    <w:uiPriority w:val="0"/>
    <w:pPr>
      <w:numPr>
        <w:ilvl w:val="0"/>
        <w:numId w:val="1"/>
      </w:numPr>
      <w:adjustRightInd w:val="0"/>
      <w:textAlignment w:val="baseline"/>
    </w:pPr>
    <w:rPr>
      <w:rFonts w:ascii="宋体" w:hAnsi="宋体"/>
      <w:kern w:val="0"/>
    </w:rPr>
  </w:style>
  <w:style w:type="paragraph" w:customStyle="1" w:styleId="54">
    <w:name w:val="样式 宋体 五号 行距: 单倍行距"/>
    <w:basedOn w:val="1"/>
    <w:qFormat/>
    <w:uiPriority w:val="0"/>
    <w:pPr>
      <w:adjustRightInd w:val="0"/>
      <w:jc w:val="left"/>
      <w:textAlignment w:val="baseline"/>
    </w:pPr>
    <w:rPr>
      <w:rFonts w:ascii="宋体" w:hAnsi="宋体"/>
      <w:kern w:val="0"/>
    </w:rPr>
  </w:style>
  <w:style w:type="paragraph" w:customStyle="1" w:styleId="55">
    <w:name w:val="样式 标题 2 + 宋体 五号 行距: 单倍行距"/>
    <w:basedOn w:val="3"/>
    <w:qFormat/>
    <w:uiPriority w:val="0"/>
    <w:pPr>
      <w:spacing w:line="240" w:lineRule="auto"/>
    </w:pPr>
    <w:rPr>
      <w:rFonts w:ascii="宋体" w:hAnsi="宋体" w:eastAsia="宋体"/>
      <w:sz w:val="21"/>
    </w:rPr>
  </w:style>
  <w:style w:type="paragraph" w:customStyle="1" w:styleId="56">
    <w:name w:val="Char Char Char Char Char"/>
    <w:basedOn w:val="1"/>
    <w:qFormat/>
    <w:uiPriority w:val="0"/>
    <w:rPr>
      <w:rFonts w:ascii="Tahoma" w:hAnsi="Tahoma"/>
      <w:sz w:val="24"/>
    </w:rPr>
  </w:style>
  <w:style w:type="paragraph" w:customStyle="1" w:styleId="57">
    <w:name w:val="Char"/>
    <w:basedOn w:val="1"/>
    <w:qFormat/>
    <w:uiPriority w:val="0"/>
    <w:rPr>
      <w:rFonts w:ascii="Tahoma" w:hAnsi="Tahoma"/>
      <w:sz w:val="24"/>
    </w:rPr>
  </w:style>
  <w:style w:type="character" w:customStyle="1" w:styleId="58">
    <w:name w:val="正文文本缩进 3 Char"/>
    <w:basedOn w:val="36"/>
    <w:link w:val="25"/>
    <w:qFormat/>
    <w:uiPriority w:val="0"/>
    <w:rPr>
      <w:rFonts w:ascii="仿宋_GB2312" w:hAnsi="Arial" w:eastAsia="仿宋_GB2312" w:cs="Times New Roman"/>
      <w:sz w:val="28"/>
      <w:szCs w:val="24"/>
    </w:rPr>
  </w:style>
  <w:style w:type="paragraph" w:customStyle="1" w:styleId="59">
    <w:name w:val="Char1"/>
    <w:basedOn w:val="1"/>
    <w:qFormat/>
    <w:uiPriority w:val="0"/>
    <w:rPr>
      <w:rFonts w:ascii="Tahoma" w:hAnsi="Tahoma" w:eastAsia="仿宋_GB2312"/>
      <w:sz w:val="24"/>
    </w:rPr>
  </w:style>
  <w:style w:type="paragraph" w:customStyle="1" w:styleId="60">
    <w:name w:val="Char Char Char Char Char Char Char1 Char"/>
    <w:basedOn w:val="1"/>
    <w:qFormat/>
    <w:uiPriority w:val="0"/>
    <w:rPr>
      <w:rFonts w:ascii="Tahoma" w:hAnsi="Tahoma"/>
      <w:sz w:val="24"/>
    </w:rPr>
  </w:style>
  <w:style w:type="character" w:customStyle="1" w:styleId="61">
    <w:name w:val="正文文本 Char"/>
    <w:basedOn w:val="36"/>
    <w:link w:val="10"/>
    <w:qFormat/>
    <w:uiPriority w:val="0"/>
    <w:rPr>
      <w:rFonts w:ascii="Times New Roman" w:hAnsi="Times New Roman" w:eastAsia="宋体" w:cs="Times New Roman"/>
      <w:szCs w:val="24"/>
    </w:rPr>
  </w:style>
  <w:style w:type="paragraph" w:customStyle="1" w:styleId="62">
    <w:name w:val="Char Char Char Char"/>
    <w:basedOn w:val="1"/>
    <w:next w:val="1"/>
    <w:qFormat/>
    <w:uiPriority w:val="0"/>
    <w:pPr>
      <w:widowControl/>
      <w:spacing w:line="360" w:lineRule="auto"/>
      <w:jc w:val="left"/>
    </w:pPr>
  </w:style>
  <w:style w:type="character" w:customStyle="1" w:styleId="63">
    <w:name w:val="批注框文本 Char"/>
    <w:basedOn w:val="36"/>
    <w:link w:val="19"/>
    <w:qFormat/>
    <w:uiPriority w:val="0"/>
    <w:rPr>
      <w:rFonts w:ascii="Times New Roman" w:hAnsi="Times New Roman" w:eastAsia="宋体" w:cs="Times New Roman"/>
      <w:sz w:val="18"/>
      <w:szCs w:val="18"/>
    </w:rPr>
  </w:style>
  <w:style w:type="paragraph" w:customStyle="1" w:styleId="64">
    <w:name w:val="Char Char Char"/>
    <w:basedOn w:val="1"/>
    <w:qFormat/>
    <w:uiPriority w:val="0"/>
    <w:rPr>
      <w:rFonts w:ascii="Tahoma" w:hAnsi="Tahoma"/>
      <w:sz w:val="24"/>
    </w:rPr>
  </w:style>
  <w:style w:type="paragraph" w:customStyle="1" w:styleId="65">
    <w:name w:val="Char Char Char Char Char Char Char Char Char Char"/>
    <w:basedOn w:val="1"/>
    <w:qFormat/>
    <w:uiPriority w:val="0"/>
    <w:rPr>
      <w:rFonts w:ascii="Tahoma" w:hAnsi="Tahoma" w:cs="仿宋_GB2312"/>
      <w:sz w:val="24"/>
    </w:rPr>
  </w:style>
  <w:style w:type="character" w:customStyle="1" w:styleId="66">
    <w:name w:val="批注文字 Char"/>
    <w:basedOn w:val="36"/>
    <w:link w:val="8"/>
    <w:semiHidden/>
    <w:qFormat/>
    <w:uiPriority w:val="99"/>
    <w:rPr>
      <w:rFonts w:ascii="Times New Roman" w:hAnsi="Times New Roman" w:eastAsia="宋体" w:cs="Times New Roman"/>
      <w:szCs w:val="20"/>
    </w:rPr>
  </w:style>
  <w:style w:type="character" w:customStyle="1" w:styleId="67">
    <w:name w:val="批注主题 Char"/>
    <w:basedOn w:val="66"/>
    <w:link w:val="32"/>
    <w:semiHidden/>
    <w:qFormat/>
    <w:uiPriority w:val="99"/>
    <w:rPr>
      <w:rFonts w:ascii="Times New Roman" w:hAnsi="Times New Roman" w:eastAsia="宋体" w:cs="Times New Roman"/>
      <w:b/>
      <w:bCs/>
      <w:szCs w:val="20"/>
    </w:rPr>
  </w:style>
  <w:style w:type="paragraph" w:customStyle="1" w:styleId="68">
    <w:name w:val="Char Char Char Char Char Char"/>
    <w:basedOn w:val="1"/>
    <w:qFormat/>
    <w:uiPriority w:val="0"/>
  </w:style>
  <w:style w:type="character" w:customStyle="1" w:styleId="69">
    <w:name w:val="纯文本 Char"/>
    <w:link w:val="15"/>
    <w:qFormat/>
    <w:uiPriority w:val="0"/>
    <w:rPr>
      <w:rFonts w:ascii="宋体" w:hAnsi="Courier New" w:eastAsia="宋体"/>
    </w:rPr>
  </w:style>
  <w:style w:type="character" w:customStyle="1" w:styleId="70">
    <w:name w:val="纯文本 Char1"/>
    <w:basedOn w:val="36"/>
    <w:semiHidden/>
    <w:qFormat/>
    <w:uiPriority w:val="99"/>
    <w:rPr>
      <w:rFonts w:ascii="宋体" w:hAnsi="Courier New" w:eastAsia="宋体" w:cs="Courier New"/>
      <w:szCs w:val="21"/>
    </w:rPr>
  </w:style>
  <w:style w:type="paragraph" w:customStyle="1" w:styleId="71">
    <w:name w:val="Char12 Char Char Char"/>
    <w:basedOn w:val="1"/>
    <w:qFormat/>
    <w:uiPriority w:val="0"/>
  </w:style>
  <w:style w:type="character" w:customStyle="1" w:styleId="72">
    <w:name w:val="文档结构图 Char"/>
    <w:basedOn w:val="36"/>
    <w:link w:val="7"/>
    <w:qFormat/>
    <w:uiPriority w:val="0"/>
    <w:rPr>
      <w:rFonts w:ascii="Times New Roman" w:hAnsi="Times New Roman" w:eastAsia="宋体" w:cs="Times New Roman"/>
      <w:szCs w:val="20"/>
      <w:shd w:val="clear" w:color="auto" w:fill="000080"/>
    </w:rPr>
  </w:style>
  <w:style w:type="character" w:customStyle="1" w:styleId="73">
    <w:name w:val="style29"/>
    <w:qFormat/>
    <w:uiPriority w:val="0"/>
  </w:style>
  <w:style w:type="character" w:customStyle="1" w:styleId="74">
    <w:name w:val="正文1"/>
    <w:qFormat/>
    <w:uiPriority w:val="0"/>
  </w:style>
  <w:style w:type="character" w:customStyle="1" w:styleId="75">
    <w:name w:val="font11"/>
    <w:qFormat/>
    <w:uiPriority w:val="0"/>
    <w:rPr>
      <w:rFonts w:hint="default" w:ascii="Times New Roman" w:hAnsi="Times New Roman" w:cs="Times New Roman"/>
      <w:color w:val="3366FF"/>
      <w:sz w:val="24"/>
      <w:szCs w:val="24"/>
      <w:u w:val="none"/>
    </w:rPr>
  </w:style>
  <w:style w:type="character" w:customStyle="1" w:styleId="76">
    <w:name w:val="font21"/>
    <w:qFormat/>
    <w:uiPriority w:val="0"/>
    <w:rPr>
      <w:rFonts w:hint="eastAsia" w:ascii="宋体" w:hAnsi="宋体" w:eastAsia="宋体"/>
      <w:color w:val="3366FF"/>
      <w:sz w:val="24"/>
      <w:szCs w:val="24"/>
      <w:u w:val="none"/>
    </w:rPr>
  </w:style>
  <w:style w:type="paragraph" w:customStyle="1" w:styleId="77">
    <w:name w:val="Char Char15"/>
    <w:basedOn w:val="1"/>
    <w:qFormat/>
    <w:uiPriority w:val="0"/>
    <w:rPr>
      <w:rFonts w:ascii="Tahoma" w:hAnsi="Tahoma" w:eastAsia="仿宋_GB2312"/>
      <w:sz w:val="24"/>
    </w:rPr>
  </w:style>
  <w:style w:type="paragraph" w:customStyle="1" w:styleId="78">
    <w:name w:val="列出段落1"/>
    <w:basedOn w:val="1"/>
    <w:qFormat/>
    <w:uiPriority w:val="0"/>
    <w:pPr>
      <w:ind w:firstLine="420" w:firstLineChars="200"/>
    </w:pPr>
    <w:rPr>
      <w:rFonts w:ascii="Calibri" w:hAnsi="Calibri"/>
      <w:szCs w:val="22"/>
    </w:rPr>
  </w:style>
  <w:style w:type="paragraph" w:customStyle="1" w:styleId="79">
    <w:name w:val="Char2"/>
    <w:basedOn w:val="1"/>
    <w:qFormat/>
    <w:uiPriority w:val="0"/>
    <w:pPr>
      <w:tabs>
        <w:tab w:val="left" w:pos="360"/>
      </w:tabs>
    </w:pPr>
    <w:rPr>
      <w:sz w:val="24"/>
      <w:szCs w:val="24"/>
    </w:rPr>
  </w:style>
  <w:style w:type="paragraph" w:customStyle="1" w:styleId="80">
    <w:name w:val="Char16"/>
    <w:basedOn w:val="1"/>
    <w:qFormat/>
    <w:uiPriority w:val="0"/>
    <w:rPr>
      <w:rFonts w:ascii="Tahoma" w:hAnsi="Tahoma" w:eastAsia="仿宋_GB2312"/>
      <w:sz w:val="24"/>
    </w:rPr>
  </w:style>
  <w:style w:type="paragraph" w:customStyle="1" w:styleId="81">
    <w:name w:val="Char Char1"/>
    <w:basedOn w:val="1"/>
    <w:qFormat/>
    <w:uiPriority w:val="0"/>
    <w:rPr>
      <w:rFonts w:ascii="Tahoma" w:hAnsi="Tahoma"/>
      <w:sz w:val="24"/>
    </w:rPr>
  </w:style>
  <w:style w:type="paragraph" w:customStyle="1" w:styleId="82">
    <w:name w:val="Char Char Char Char Char Char Char"/>
    <w:basedOn w:val="1"/>
    <w:qFormat/>
    <w:uiPriority w:val="0"/>
    <w:rPr>
      <w:szCs w:val="24"/>
    </w:rPr>
  </w:style>
  <w:style w:type="paragraph" w:customStyle="1" w:styleId="83">
    <w:name w:val="Char Char"/>
    <w:basedOn w:val="1"/>
    <w:qFormat/>
    <w:uiPriority w:val="0"/>
    <w:rPr>
      <w:rFonts w:ascii="Tahoma" w:hAnsi="Tahoma" w:cs="仿宋_GB2312"/>
      <w:sz w:val="24"/>
    </w:rPr>
  </w:style>
  <w:style w:type="paragraph" w:customStyle="1" w:styleId="84">
    <w:name w:val="Char Char2"/>
    <w:basedOn w:val="1"/>
    <w:qFormat/>
    <w:uiPriority w:val="0"/>
    <w:rPr>
      <w:rFonts w:ascii="Tahoma" w:hAnsi="Tahoma" w:cs="仿宋_GB2312"/>
      <w:sz w:val="24"/>
    </w:rPr>
  </w:style>
  <w:style w:type="paragraph" w:customStyle="1" w:styleId="85">
    <w:name w:val="Char Char Char1"/>
    <w:basedOn w:val="1"/>
    <w:qFormat/>
    <w:uiPriority w:val="0"/>
    <w:rPr>
      <w:rFonts w:ascii="Tahoma" w:hAnsi="Tahoma"/>
      <w:sz w:val="24"/>
    </w:rPr>
  </w:style>
  <w:style w:type="paragraph" w:customStyle="1" w:styleId="86">
    <w:name w:val="D&amp;L"/>
    <w:basedOn w:val="21"/>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87">
    <w:name w:val="正文文本 3 Char"/>
    <w:basedOn w:val="36"/>
    <w:link w:val="9"/>
    <w:qFormat/>
    <w:uiPriority w:val="99"/>
    <w:rPr>
      <w:rFonts w:ascii="Calibri" w:hAnsi="Calibri" w:eastAsia="宋体" w:cs="Times New Roman"/>
      <w:sz w:val="16"/>
      <w:szCs w:val="16"/>
      <w:lang w:val="zh-CN" w:eastAsia="zh-CN"/>
    </w:rPr>
  </w:style>
  <w:style w:type="paragraph" w:customStyle="1" w:styleId="8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9">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0">
    <w:name w:val="style23"/>
    <w:qFormat/>
    <w:uiPriority w:val="0"/>
    <w:rPr>
      <w:rFonts w:ascii="Times New Roman" w:hAnsi="Times New Roman" w:eastAsia="宋体"/>
    </w:rPr>
  </w:style>
  <w:style w:type="paragraph" w:customStyle="1" w:styleId="91">
    <w:name w:val="p0"/>
    <w:basedOn w:val="1"/>
    <w:qFormat/>
    <w:uiPriority w:val="0"/>
    <w:pPr>
      <w:widowControl/>
      <w:jc w:val="left"/>
    </w:pPr>
    <w:rPr>
      <w:rFonts w:ascii="等线" w:hAnsi="等线" w:eastAsia="等线" w:cs="等线"/>
      <w:kern w:val="0"/>
      <w:sz w:val="20"/>
      <w:szCs w:val="22"/>
    </w:rPr>
  </w:style>
  <w:style w:type="paragraph" w:customStyle="1" w:styleId="92">
    <w:name w:val="列表段落1"/>
    <w:basedOn w:val="1"/>
    <w:qFormat/>
    <w:uiPriority w:val="34"/>
    <w:pPr>
      <w:ind w:firstLine="420" w:firstLineChars="200"/>
    </w:pPr>
    <w:rPr>
      <w:szCs w:val="24"/>
    </w:rPr>
  </w:style>
  <w:style w:type="paragraph" w:customStyle="1" w:styleId="93">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customStyle="1" w:styleId="94">
    <w:name w:val="Table Paragraph"/>
    <w:basedOn w:val="1"/>
    <w:qFormat/>
    <w:uiPriority w:val="1"/>
  </w:style>
  <w:style w:type="character" w:customStyle="1" w:styleId="95">
    <w:name w:val="标题 2 Char1"/>
    <w:link w:val="3"/>
    <w:qFormat/>
    <w:uiPriority w:val="0"/>
    <w:rPr>
      <w:rFonts w:ascii="Arial" w:hAnsi="Arial" w:eastAsia="黑体"/>
      <w:b/>
      <w:bCs/>
      <w:sz w:val="32"/>
      <w:szCs w:val="32"/>
    </w:rPr>
  </w:style>
  <w:style w:type="paragraph" w:styleId="96">
    <w:name w:val="List Paragraph"/>
    <w:basedOn w:val="1"/>
    <w:qFormat/>
    <w:uiPriority w:val="99"/>
    <w:pPr>
      <w:ind w:firstLine="420" w:firstLineChars="200"/>
    </w:pPr>
  </w:style>
  <w:style w:type="table" w:customStyle="1" w:styleId="97">
    <w:name w:val="Table Normal"/>
    <w:semiHidden/>
    <w:unhideWhenUsed/>
    <w:qFormat/>
    <w:uiPriority w:val="0"/>
    <w:rPr>
      <w:rFonts w:ascii="Arial" w:hAnsi="Arial" w:cs="Arial"/>
    </w:rPr>
    <w:tblPr>
      <w:tblCellMar>
        <w:top w:w="0" w:type="dxa"/>
        <w:left w:w="0" w:type="dxa"/>
        <w:bottom w:w="0" w:type="dxa"/>
        <w:right w:w="0" w:type="dxa"/>
      </w:tblCellMar>
    </w:tblPr>
  </w:style>
  <w:style w:type="paragraph" w:customStyle="1" w:styleId="98">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41</Pages>
  <Words>15310</Words>
  <Characters>15925</Characters>
  <Lines>177</Lines>
  <Paragraphs>49</Paragraphs>
  <TotalTime>43</TotalTime>
  <ScaleCrop>false</ScaleCrop>
  <LinksUpToDate>false</LinksUpToDate>
  <CharactersWithSpaces>16810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2017-04-19T23:21:00Z</dcterms:created>
  <dc:creator>朱少尉</dc:creator>
  <cp:lastModifiedBy>Administrator</cp:lastModifiedBy>
  <cp:lastPrinted>2024-08-16T08:58:00Z</cp:lastPrinted>
  <dcterms:modified xsi:type="dcterms:W3CDTF">2024-08-16T10:03:42Z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694F644CC9284968B74EB7E5718D1064_13</vt:lpwstr>
  </property>
</Properties>
</file>